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3DE8" w14:textId="2B205A4D" w:rsidR="008E625E" w:rsidRPr="006B1AFC" w:rsidRDefault="008E625E" w:rsidP="00B92820">
      <w:pPr>
        <w:jc w:val="both"/>
        <w:rPr>
          <w:rFonts w:ascii="Palatino Linotype" w:hAnsi="Palatino Linotype"/>
          <w:b/>
          <w:bCs/>
          <w:sz w:val="28"/>
          <w:szCs w:val="28"/>
          <w:lang w:val="en-GB"/>
        </w:rPr>
      </w:pPr>
      <w:r w:rsidRPr="006B1AFC">
        <w:rPr>
          <w:rFonts w:ascii="Palatino Linotype" w:hAnsi="Palatino Linotype"/>
          <w:b/>
          <w:bCs/>
          <w:sz w:val="28"/>
          <w:szCs w:val="28"/>
          <w:lang w:val="en-GB"/>
        </w:rPr>
        <w:t>Abstract in English</w:t>
      </w:r>
    </w:p>
    <w:p w14:paraId="67051850" w14:textId="21FAC689" w:rsidR="00023437" w:rsidRPr="006B1AFC" w:rsidRDefault="00023437" w:rsidP="00B92820">
      <w:pPr>
        <w:jc w:val="both"/>
        <w:rPr>
          <w:rFonts w:ascii="Palatino Linotype" w:hAnsi="Palatino Linotype"/>
          <w:sz w:val="22"/>
          <w:szCs w:val="22"/>
          <w:lang w:val="en-GB"/>
        </w:rPr>
      </w:pPr>
      <w:r w:rsidRPr="006B1AFC">
        <w:rPr>
          <w:rFonts w:ascii="Palatino Linotype" w:hAnsi="Palatino Linotype"/>
          <w:sz w:val="22"/>
          <w:szCs w:val="22"/>
          <w:lang w:val="en-GB"/>
        </w:rPr>
        <w:t xml:space="preserve">This thesis </w:t>
      </w:r>
      <w:r w:rsidR="00AD155A" w:rsidRPr="006B1AFC">
        <w:rPr>
          <w:rFonts w:ascii="Palatino Linotype" w:hAnsi="Palatino Linotype"/>
          <w:sz w:val="22"/>
          <w:szCs w:val="22"/>
          <w:lang w:val="en-GB"/>
        </w:rPr>
        <w:t>studies</w:t>
      </w:r>
      <w:r w:rsidRPr="006B1AFC">
        <w:rPr>
          <w:rFonts w:ascii="Palatino Linotype" w:hAnsi="Palatino Linotype"/>
          <w:sz w:val="22"/>
          <w:szCs w:val="22"/>
          <w:lang w:val="en-GB"/>
        </w:rPr>
        <w:t xml:space="preserve"> mandatory sustainability reporting by analy</w:t>
      </w:r>
      <w:r w:rsidR="00170B71">
        <w:rPr>
          <w:rFonts w:ascii="Palatino Linotype" w:hAnsi="Palatino Linotype"/>
          <w:sz w:val="22"/>
          <w:szCs w:val="22"/>
          <w:lang w:val="en-GB"/>
        </w:rPr>
        <w:t>s</w:t>
      </w:r>
      <w:r w:rsidRPr="006B1AFC">
        <w:rPr>
          <w:rFonts w:ascii="Palatino Linotype" w:hAnsi="Palatino Linotype"/>
          <w:sz w:val="22"/>
          <w:szCs w:val="22"/>
          <w:lang w:val="en-GB"/>
        </w:rPr>
        <w:t>ing corporate behavio</w:t>
      </w:r>
      <w:r w:rsidR="006B1AFC">
        <w:rPr>
          <w:rFonts w:ascii="Palatino Linotype" w:hAnsi="Palatino Linotype"/>
          <w:sz w:val="22"/>
          <w:szCs w:val="22"/>
          <w:lang w:val="en-GB"/>
        </w:rPr>
        <w:t>u</w:t>
      </w:r>
      <w:r w:rsidRPr="006B1AFC">
        <w:rPr>
          <w:rFonts w:ascii="Palatino Linotype" w:hAnsi="Palatino Linotype"/>
          <w:sz w:val="22"/>
          <w:szCs w:val="22"/>
          <w:lang w:val="en-GB"/>
        </w:rPr>
        <w:t xml:space="preserve">r through two </w:t>
      </w:r>
      <w:r w:rsidR="00E50EE1" w:rsidRPr="006B1AFC">
        <w:rPr>
          <w:rFonts w:ascii="Palatino Linotype" w:hAnsi="Palatino Linotype"/>
          <w:sz w:val="22"/>
          <w:szCs w:val="22"/>
          <w:lang w:val="en-GB"/>
        </w:rPr>
        <w:t>novel approaches</w:t>
      </w:r>
      <w:r w:rsidRPr="006B1AFC">
        <w:rPr>
          <w:rFonts w:ascii="Palatino Linotype" w:hAnsi="Palatino Linotype"/>
          <w:sz w:val="22"/>
          <w:szCs w:val="22"/>
          <w:lang w:val="en-GB"/>
        </w:rPr>
        <w:t>: greenwashing, measured by the disclosure-performance gap, and cost behavio</w:t>
      </w:r>
      <w:r w:rsidR="006B1AFC">
        <w:rPr>
          <w:rFonts w:ascii="Palatino Linotype" w:hAnsi="Palatino Linotype"/>
          <w:sz w:val="22"/>
          <w:szCs w:val="22"/>
          <w:lang w:val="en-GB"/>
        </w:rPr>
        <w:t>u</w:t>
      </w:r>
      <w:r w:rsidRPr="006B1AFC">
        <w:rPr>
          <w:rFonts w:ascii="Palatino Linotype" w:hAnsi="Palatino Linotype"/>
          <w:sz w:val="22"/>
          <w:szCs w:val="22"/>
          <w:lang w:val="en-GB"/>
        </w:rPr>
        <w:t xml:space="preserve">r, assessed via cost stickiness. Drawing primarily on institutional theory and supported by complementary theoretical perspectives, the </w:t>
      </w:r>
      <w:r w:rsidR="00E50EE1" w:rsidRPr="006B1AFC">
        <w:rPr>
          <w:rFonts w:ascii="Palatino Linotype" w:hAnsi="Palatino Linotype"/>
          <w:sz w:val="22"/>
          <w:szCs w:val="22"/>
          <w:lang w:val="en-GB"/>
        </w:rPr>
        <w:t>thesis proposes</w:t>
      </w:r>
      <w:r w:rsidRPr="006B1AFC">
        <w:rPr>
          <w:rFonts w:ascii="Palatino Linotype" w:hAnsi="Palatino Linotype"/>
          <w:sz w:val="22"/>
          <w:szCs w:val="22"/>
          <w:lang w:val="en-GB"/>
        </w:rPr>
        <w:t xml:space="preserve"> </w:t>
      </w:r>
      <w:r w:rsidR="00E50EE1" w:rsidRPr="006B1AFC">
        <w:rPr>
          <w:rFonts w:ascii="Palatino Linotype" w:hAnsi="Palatino Linotype"/>
          <w:sz w:val="22"/>
          <w:szCs w:val="22"/>
          <w:lang w:val="en-GB"/>
        </w:rPr>
        <w:t xml:space="preserve">and </w:t>
      </w:r>
      <w:r w:rsidRPr="006B1AFC">
        <w:rPr>
          <w:rFonts w:ascii="Palatino Linotype" w:hAnsi="Palatino Linotype"/>
          <w:sz w:val="22"/>
          <w:szCs w:val="22"/>
          <w:lang w:val="en-GB"/>
        </w:rPr>
        <w:t>empirically tests competing hypotheses to distinguish substantive from symbolic compliance</w:t>
      </w:r>
      <w:r w:rsidR="00BB480F" w:rsidRPr="006B1AFC">
        <w:rPr>
          <w:rFonts w:ascii="Palatino Linotype" w:hAnsi="Palatino Linotype"/>
          <w:sz w:val="22"/>
          <w:szCs w:val="22"/>
          <w:lang w:val="en-GB"/>
        </w:rPr>
        <w:t xml:space="preserve"> with regulation</w:t>
      </w:r>
      <w:r w:rsidRPr="006B1AFC">
        <w:rPr>
          <w:rFonts w:ascii="Palatino Linotype" w:hAnsi="Palatino Linotype"/>
          <w:sz w:val="22"/>
          <w:szCs w:val="22"/>
          <w:lang w:val="en-GB"/>
        </w:rPr>
        <w:t xml:space="preserve">. Employing </w:t>
      </w:r>
      <w:r w:rsidR="00E06FCD" w:rsidRPr="006B1AFC">
        <w:rPr>
          <w:rFonts w:ascii="Palatino Linotype" w:hAnsi="Palatino Linotype"/>
          <w:sz w:val="22"/>
          <w:szCs w:val="22"/>
          <w:lang w:val="en-GB"/>
        </w:rPr>
        <w:t>the</w:t>
      </w:r>
      <w:r w:rsidRPr="006B1AFC">
        <w:rPr>
          <w:rFonts w:ascii="Palatino Linotype" w:hAnsi="Palatino Linotype"/>
          <w:sz w:val="22"/>
          <w:szCs w:val="22"/>
          <w:lang w:val="en-GB"/>
        </w:rPr>
        <w:t xml:space="preserve"> difference-in-differences estimation, the analysis compares companies from 17 European Union (EU) countries subject to the European Union’s Non-Financial Reporting Directive 2014/95/EU against companies from 11 non-EU OECD countries. The studied period spans around the implementation of the </w:t>
      </w:r>
      <w:r w:rsidR="00FA5580" w:rsidRPr="006B1AFC">
        <w:rPr>
          <w:rFonts w:ascii="Palatino Linotype" w:hAnsi="Palatino Linotype"/>
          <w:sz w:val="22"/>
          <w:szCs w:val="22"/>
          <w:lang w:val="en-GB"/>
        </w:rPr>
        <w:t>d</w:t>
      </w:r>
      <w:r w:rsidRPr="006B1AFC">
        <w:rPr>
          <w:rFonts w:ascii="Palatino Linotype" w:hAnsi="Palatino Linotype"/>
          <w:sz w:val="22"/>
          <w:szCs w:val="22"/>
          <w:lang w:val="en-GB"/>
        </w:rPr>
        <w:t>irective in 2017, delineated into pre-implementation (2013–2016) and post-implementation (2017–2022) phases.</w:t>
      </w:r>
    </w:p>
    <w:p w14:paraId="4982AC33" w14:textId="452F7718" w:rsidR="00023437" w:rsidRPr="006B1AFC" w:rsidRDefault="00023437" w:rsidP="00B92820">
      <w:pPr>
        <w:jc w:val="both"/>
        <w:rPr>
          <w:rFonts w:ascii="Palatino Linotype" w:hAnsi="Palatino Linotype"/>
          <w:sz w:val="22"/>
          <w:szCs w:val="22"/>
          <w:lang w:val="en-GB"/>
        </w:rPr>
      </w:pPr>
      <w:r w:rsidRPr="006B1AFC">
        <w:rPr>
          <w:rFonts w:ascii="Palatino Linotype" w:hAnsi="Palatino Linotype"/>
          <w:sz w:val="22"/>
          <w:szCs w:val="22"/>
          <w:lang w:val="en-GB"/>
        </w:rPr>
        <w:t>To mitigate endogeneity concerns and strengthen causal inference, the study incorporates a range of methodological strategies, including parallel trend analysis, propensity score matching, multiple model specifications, and a robust set of control variables. Results show a significant widening of the disclosure-performance gap among EU companies post-</w:t>
      </w:r>
      <w:r w:rsidR="007873BA" w:rsidRPr="006B1AFC">
        <w:rPr>
          <w:rFonts w:ascii="Palatino Linotype" w:hAnsi="Palatino Linotype"/>
          <w:sz w:val="22"/>
          <w:szCs w:val="22"/>
          <w:lang w:val="en-GB"/>
        </w:rPr>
        <w:t>implementation of the directive</w:t>
      </w:r>
      <w:r w:rsidRPr="006B1AFC">
        <w:rPr>
          <w:rFonts w:ascii="Palatino Linotype" w:hAnsi="Palatino Linotype"/>
          <w:sz w:val="22"/>
          <w:szCs w:val="22"/>
          <w:lang w:val="en-GB"/>
        </w:rPr>
        <w:t xml:space="preserve">, indicating symbolic compliance. Conversely, a notable increase in cost stickiness among these companies suggests genuine organizational change, especially pronounced in </w:t>
      </w:r>
      <w:r w:rsidR="00F933AD" w:rsidRPr="006B1AFC">
        <w:rPr>
          <w:rFonts w:ascii="Palatino Linotype" w:hAnsi="Palatino Linotype"/>
          <w:sz w:val="22"/>
          <w:szCs w:val="22"/>
          <w:lang w:val="en-GB"/>
        </w:rPr>
        <w:t>companies</w:t>
      </w:r>
      <w:r w:rsidRPr="006B1AFC">
        <w:rPr>
          <w:rFonts w:ascii="Palatino Linotype" w:hAnsi="Palatino Linotype"/>
          <w:sz w:val="22"/>
          <w:szCs w:val="22"/>
          <w:lang w:val="en-GB"/>
        </w:rPr>
        <w:t xml:space="preserve"> with improved sustainability performance.</w:t>
      </w:r>
    </w:p>
    <w:p w14:paraId="0FAD6DC9" w14:textId="06B2549E" w:rsidR="008E625E" w:rsidRPr="006B1AFC" w:rsidRDefault="00E0500A" w:rsidP="00B92820">
      <w:pPr>
        <w:jc w:val="both"/>
        <w:rPr>
          <w:rFonts w:ascii="Palatino Linotype" w:hAnsi="Palatino Linotype"/>
          <w:sz w:val="22"/>
          <w:szCs w:val="22"/>
          <w:lang w:val="en-GB"/>
        </w:rPr>
      </w:pPr>
      <w:r w:rsidRPr="006B1AFC">
        <w:rPr>
          <w:rFonts w:ascii="Palatino Linotype" w:hAnsi="Palatino Linotype"/>
          <w:sz w:val="22"/>
          <w:szCs w:val="22"/>
          <w:lang w:val="en-GB"/>
        </w:rPr>
        <w:t>The thesis offers a theoretical contribution by conceptualizing and empirically substantiating the disclosure-performance gap and cost stickiness as analytical constructs in the context of mandatory sustainability reporting</w:t>
      </w:r>
      <w:r w:rsidR="00023437" w:rsidRPr="006B1AFC">
        <w:rPr>
          <w:rFonts w:ascii="Palatino Linotype" w:hAnsi="Palatino Linotype"/>
          <w:sz w:val="22"/>
          <w:szCs w:val="22"/>
          <w:lang w:val="en-GB"/>
        </w:rPr>
        <w:t xml:space="preserve">. Moreover, its cross-country and longitudinal </w:t>
      </w:r>
      <w:r w:rsidR="008310E5" w:rsidRPr="006B1AFC">
        <w:rPr>
          <w:rFonts w:ascii="Palatino Linotype" w:hAnsi="Palatino Linotype"/>
          <w:sz w:val="22"/>
          <w:szCs w:val="22"/>
          <w:lang w:val="en-GB"/>
        </w:rPr>
        <w:t>research design</w:t>
      </w:r>
      <w:r w:rsidR="00023437" w:rsidRPr="006B1AFC">
        <w:rPr>
          <w:rFonts w:ascii="Palatino Linotype" w:hAnsi="Palatino Linotype"/>
          <w:sz w:val="22"/>
          <w:szCs w:val="22"/>
          <w:lang w:val="en-GB"/>
        </w:rPr>
        <w:t xml:space="preserve"> address prevalent gaps in literature. Practically, it offers policy implications for regulators aiming to design effective sustainability reporting frameworks that encourage authentic sustainability transformations at organizational level.</w:t>
      </w:r>
    </w:p>
    <w:p w14:paraId="77274353" w14:textId="77777777" w:rsidR="00B92820" w:rsidRDefault="00B92820" w:rsidP="00B92820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br w:type="page"/>
      </w:r>
    </w:p>
    <w:p w14:paraId="70A7AC84" w14:textId="7B3C1405" w:rsidR="00B92820" w:rsidRPr="006B1AFC" w:rsidRDefault="00BB480F" w:rsidP="00B92820">
      <w:pPr>
        <w:jc w:val="both"/>
        <w:rPr>
          <w:rFonts w:ascii="Palatino Linotype" w:hAnsi="Palatino Linotype"/>
          <w:b/>
          <w:bCs/>
          <w:sz w:val="28"/>
          <w:szCs w:val="28"/>
          <w:lang w:val="sv-SE"/>
        </w:rPr>
      </w:pPr>
      <w:r w:rsidRPr="006B1AFC">
        <w:rPr>
          <w:rFonts w:ascii="Palatino Linotype" w:hAnsi="Palatino Linotype"/>
          <w:b/>
          <w:bCs/>
          <w:sz w:val="28"/>
          <w:szCs w:val="28"/>
          <w:lang w:val="sv-SE"/>
        </w:rPr>
        <w:lastRenderedPageBreak/>
        <w:t>Sammanfattning på svenska</w:t>
      </w:r>
    </w:p>
    <w:p w14:paraId="556EAF6F" w14:textId="01DA25A2" w:rsidR="00B92820" w:rsidRPr="006B1AFC" w:rsidRDefault="001D7AA6" w:rsidP="00B92820">
      <w:pPr>
        <w:jc w:val="both"/>
        <w:rPr>
          <w:rFonts w:ascii="Palatino Linotype" w:hAnsi="Palatino Linotype"/>
          <w:sz w:val="22"/>
          <w:szCs w:val="22"/>
          <w:lang w:val="sv-SE"/>
        </w:rPr>
      </w:pPr>
      <w:r w:rsidRPr="006B1AFC">
        <w:rPr>
          <w:rFonts w:ascii="Palatino Linotype" w:hAnsi="Palatino Linotype"/>
          <w:sz w:val="22"/>
          <w:szCs w:val="22"/>
          <w:lang w:val="sv-SE"/>
        </w:rPr>
        <w:t xml:space="preserve">Denna avhandling undersöker effektiviteten hos obligatorisk hållbarhetsrapportering genom att analysera två dimensioner av företagsbeteende: 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>”</w:t>
      </w:r>
      <w:r w:rsidRPr="006B1AFC">
        <w:rPr>
          <w:rFonts w:ascii="Palatino Linotype" w:hAnsi="Palatino Linotype"/>
          <w:sz w:val="22"/>
          <w:szCs w:val="22"/>
          <w:lang w:val="sv-SE"/>
        </w:rPr>
        <w:t>greenwashing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>”</w:t>
      </w:r>
      <w:r w:rsidRPr="006B1AFC">
        <w:rPr>
          <w:rFonts w:ascii="Palatino Linotype" w:hAnsi="Palatino Linotype"/>
          <w:sz w:val="22"/>
          <w:szCs w:val="22"/>
          <w:lang w:val="sv-SE"/>
        </w:rPr>
        <w:t>, mätt via skillnaden mellan redovis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>ad</w:t>
      </w:r>
      <w:r w:rsidRPr="006B1AFC">
        <w:rPr>
          <w:rFonts w:ascii="Palatino Linotype" w:hAnsi="Palatino Linotype"/>
          <w:sz w:val="22"/>
          <w:szCs w:val="22"/>
          <w:lang w:val="sv-SE"/>
        </w:rPr>
        <w:t xml:space="preserve"> och faktisk prestation, samt kostnads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 xml:space="preserve">relaterat </w:t>
      </w:r>
      <w:r w:rsidRPr="006B1AFC">
        <w:rPr>
          <w:rFonts w:ascii="Palatino Linotype" w:hAnsi="Palatino Linotype"/>
          <w:sz w:val="22"/>
          <w:szCs w:val="22"/>
          <w:lang w:val="sv-SE"/>
        </w:rPr>
        <w:t xml:space="preserve">beteende, utvärderat genom kostnadsrigiditet. Utifrån institutionell teori och kompletterande teoretiska perspektiv testar avhandlingen konkurrerande hypoteser för att skilja mellan substantiell och symbolisk 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>regel</w:t>
      </w:r>
      <w:r w:rsidRPr="006B1AFC">
        <w:rPr>
          <w:rFonts w:ascii="Palatino Linotype" w:hAnsi="Palatino Linotype"/>
          <w:sz w:val="22"/>
          <w:szCs w:val="22"/>
          <w:lang w:val="sv-SE"/>
        </w:rPr>
        <w:t>efterlevnad.</w:t>
      </w:r>
    </w:p>
    <w:p w14:paraId="7EEB3ED6" w14:textId="535BEE17" w:rsidR="00B92820" w:rsidRPr="006B1AFC" w:rsidRDefault="001D7AA6" w:rsidP="00B92820">
      <w:pPr>
        <w:jc w:val="both"/>
        <w:rPr>
          <w:rFonts w:ascii="Palatino Linotype" w:hAnsi="Palatino Linotype"/>
          <w:sz w:val="22"/>
          <w:szCs w:val="22"/>
          <w:lang w:val="sv-SE"/>
        </w:rPr>
      </w:pPr>
      <w:r w:rsidRPr="006B1AFC">
        <w:rPr>
          <w:rFonts w:ascii="Palatino Linotype" w:hAnsi="Palatino Linotype"/>
          <w:sz w:val="22"/>
          <w:szCs w:val="22"/>
          <w:lang w:val="sv-SE"/>
        </w:rPr>
        <w:t xml:space="preserve">Genom att använda en 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>”</w:t>
      </w:r>
      <w:r w:rsidRPr="006B1AFC">
        <w:rPr>
          <w:rFonts w:ascii="Palatino Linotype" w:hAnsi="Palatino Linotype"/>
          <w:sz w:val="22"/>
          <w:szCs w:val="22"/>
          <w:lang w:val="sv-SE"/>
        </w:rPr>
        <w:t>difference-in-differences-analys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>”</w:t>
      </w:r>
      <w:r w:rsidRPr="006B1AFC">
        <w:rPr>
          <w:rFonts w:ascii="Palatino Linotype" w:hAnsi="Palatino Linotype"/>
          <w:sz w:val="22"/>
          <w:szCs w:val="22"/>
          <w:lang w:val="sv-SE"/>
        </w:rPr>
        <w:t xml:space="preserve"> jämförs företag från 17 EU-länder, som omfattas av EU:s direktiv om icke-finansiell rapportering (Direktiv 2014/95/EU), med företag från 11 icke-EU OECD-länder. Studien omfattar perioderna före (2013–2016) och efter (2017–2022) implementeringen av direktivet. För att hantera endogenitet och stärka kausala slutsatser används parallella trendanalyser, 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>”</w:t>
      </w:r>
      <w:r w:rsidRPr="006B1AFC">
        <w:rPr>
          <w:rFonts w:ascii="Palatino Linotype" w:hAnsi="Palatino Linotype"/>
          <w:sz w:val="22"/>
          <w:szCs w:val="22"/>
          <w:lang w:val="sv-SE"/>
        </w:rPr>
        <w:t>propensity score-matching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>”</w:t>
      </w:r>
      <w:r w:rsidRPr="006B1AFC">
        <w:rPr>
          <w:rFonts w:ascii="Palatino Linotype" w:hAnsi="Palatino Linotype"/>
          <w:sz w:val="22"/>
          <w:szCs w:val="22"/>
          <w:lang w:val="sv-SE"/>
        </w:rPr>
        <w:t xml:space="preserve">, varierade modellspecifikationer och 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 xml:space="preserve">ett </w:t>
      </w:r>
      <w:r w:rsidRPr="006B1AFC">
        <w:rPr>
          <w:rFonts w:ascii="Palatino Linotype" w:hAnsi="Palatino Linotype"/>
          <w:sz w:val="22"/>
          <w:szCs w:val="22"/>
          <w:lang w:val="sv-SE"/>
        </w:rPr>
        <w:t xml:space="preserve">omfattande 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 xml:space="preserve">antal </w:t>
      </w:r>
      <w:r w:rsidRPr="006B1AFC">
        <w:rPr>
          <w:rFonts w:ascii="Palatino Linotype" w:hAnsi="Palatino Linotype"/>
          <w:sz w:val="22"/>
          <w:szCs w:val="22"/>
          <w:lang w:val="sv-SE"/>
        </w:rPr>
        <w:t>kontrollvariabler.</w:t>
      </w:r>
    </w:p>
    <w:p w14:paraId="1560BCAA" w14:textId="28E25D9E" w:rsidR="00B92820" w:rsidRPr="006B1AFC" w:rsidRDefault="001D7AA6" w:rsidP="00B92820">
      <w:pPr>
        <w:jc w:val="both"/>
        <w:rPr>
          <w:rFonts w:ascii="Palatino Linotype" w:hAnsi="Palatino Linotype"/>
          <w:sz w:val="22"/>
          <w:szCs w:val="22"/>
          <w:lang w:val="sv-SE"/>
        </w:rPr>
      </w:pPr>
      <w:r w:rsidRPr="006B1AFC">
        <w:rPr>
          <w:rFonts w:ascii="Palatino Linotype" w:hAnsi="Palatino Linotype"/>
          <w:sz w:val="22"/>
          <w:szCs w:val="22"/>
          <w:lang w:val="sv-SE"/>
        </w:rPr>
        <w:t xml:space="preserve">Resultaten visar att efter implementeringen av direktivet ökade skillnaden mellan rapportering och faktisk prestation betydligt 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 xml:space="preserve">mer </w:t>
      </w:r>
      <w:r w:rsidRPr="006B1AFC">
        <w:rPr>
          <w:rFonts w:ascii="Palatino Linotype" w:hAnsi="Palatino Linotype"/>
          <w:sz w:val="22"/>
          <w:szCs w:val="22"/>
          <w:lang w:val="sv-SE"/>
        </w:rPr>
        <w:t>bland EU-företag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>en</w:t>
      </w:r>
      <w:r w:rsidRPr="006B1AFC">
        <w:rPr>
          <w:rFonts w:ascii="Palatino Linotype" w:hAnsi="Palatino Linotype"/>
          <w:sz w:val="22"/>
          <w:szCs w:val="22"/>
          <w:lang w:val="sv-SE"/>
        </w:rPr>
        <w:t xml:space="preserve"> </w:t>
      </w:r>
      <w:r w:rsidR="006B1AFC">
        <w:rPr>
          <w:rFonts w:ascii="Palatino Linotype" w:hAnsi="Palatino Linotype"/>
          <w:sz w:val="22"/>
          <w:szCs w:val="22"/>
          <w:lang w:val="sv-SE"/>
        </w:rPr>
        <w:t>än bland</w:t>
      </w:r>
      <w:r w:rsidRPr="006B1AFC">
        <w:rPr>
          <w:rFonts w:ascii="Palatino Linotype" w:hAnsi="Palatino Linotype"/>
          <w:sz w:val="22"/>
          <w:szCs w:val="22"/>
          <w:lang w:val="sv-SE"/>
        </w:rPr>
        <w:t xml:space="preserve"> 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 xml:space="preserve">företagen i </w:t>
      </w:r>
      <w:r w:rsidRPr="006B1AFC">
        <w:rPr>
          <w:rFonts w:ascii="Palatino Linotype" w:hAnsi="Palatino Linotype"/>
          <w:sz w:val="22"/>
          <w:szCs w:val="22"/>
          <w:lang w:val="sv-SE"/>
        </w:rPr>
        <w:t xml:space="preserve">kontrollgruppen, vilket tyder på symbolisk efterlevnad. Samtidigt uppvisade EU-företagen ökad kostnadsrigiditet efter </w:t>
      </w:r>
      <w:r w:rsidR="006B1AFC">
        <w:rPr>
          <w:rFonts w:ascii="Palatino Linotype" w:hAnsi="Palatino Linotype"/>
          <w:sz w:val="22"/>
          <w:szCs w:val="22"/>
          <w:lang w:val="sv-SE"/>
        </w:rPr>
        <w:t xml:space="preserve">införandet av </w:t>
      </w:r>
      <w:r w:rsidRPr="006B1AFC">
        <w:rPr>
          <w:rFonts w:ascii="Palatino Linotype" w:hAnsi="Palatino Linotype"/>
          <w:sz w:val="22"/>
          <w:szCs w:val="22"/>
          <w:lang w:val="sv-SE"/>
        </w:rPr>
        <w:t>direktivet, vilket tyder på ett genuint organisatoriskt engagemang för hållbarhet, särskilt hos företag som förbättrat sin hållbarhetsprestanda.</w:t>
      </w:r>
    </w:p>
    <w:p w14:paraId="46605FBE" w14:textId="29CA6F3A" w:rsidR="008E625E" w:rsidRPr="006B1AFC" w:rsidRDefault="001D7AA6" w:rsidP="00B92820">
      <w:pPr>
        <w:jc w:val="both"/>
        <w:rPr>
          <w:rFonts w:ascii="Palatino Linotype" w:hAnsi="Palatino Linotype"/>
          <w:sz w:val="22"/>
          <w:szCs w:val="22"/>
          <w:lang w:val="sv-SE"/>
        </w:rPr>
      </w:pPr>
      <w:r w:rsidRPr="006B1AFC">
        <w:rPr>
          <w:rFonts w:ascii="Palatino Linotype" w:hAnsi="Palatino Linotype"/>
          <w:sz w:val="22"/>
          <w:szCs w:val="22"/>
          <w:lang w:val="sv-SE"/>
        </w:rPr>
        <w:t xml:space="preserve">Avhandlingen bidrar teoretiskt genom att 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 xml:space="preserve">dels </w:t>
      </w:r>
      <w:r w:rsidRPr="006B1AFC">
        <w:rPr>
          <w:rFonts w:ascii="Palatino Linotype" w:hAnsi="Palatino Linotype"/>
          <w:sz w:val="22"/>
          <w:szCs w:val="22"/>
          <w:lang w:val="sv-SE"/>
        </w:rPr>
        <w:t>introducera skillnad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>en</w:t>
      </w:r>
      <w:r w:rsidRPr="006B1AFC">
        <w:rPr>
          <w:rFonts w:ascii="Palatino Linotype" w:hAnsi="Palatino Linotype"/>
          <w:sz w:val="22"/>
          <w:szCs w:val="22"/>
          <w:lang w:val="sv-SE"/>
        </w:rPr>
        <w:t xml:space="preserve"> mellan rapporter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>ad</w:t>
      </w:r>
      <w:r w:rsidRPr="006B1AFC">
        <w:rPr>
          <w:rFonts w:ascii="Palatino Linotype" w:hAnsi="Palatino Linotype"/>
          <w:sz w:val="22"/>
          <w:szCs w:val="22"/>
          <w:lang w:val="sv-SE"/>
        </w:rPr>
        <w:t xml:space="preserve"> och faktisk prestation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>. dels</w:t>
      </w:r>
      <w:r w:rsidRPr="006B1AFC">
        <w:rPr>
          <w:rFonts w:ascii="Palatino Linotype" w:hAnsi="Palatino Linotype"/>
          <w:sz w:val="22"/>
          <w:szCs w:val="22"/>
          <w:lang w:val="sv-SE"/>
        </w:rPr>
        <w:t xml:space="preserve"> kostnadsrigiditet inom 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 xml:space="preserve">området </w:t>
      </w:r>
      <w:r w:rsidRPr="006B1AFC">
        <w:rPr>
          <w:rFonts w:ascii="Palatino Linotype" w:hAnsi="Palatino Linotype"/>
          <w:sz w:val="22"/>
          <w:szCs w:val="22"/>
          <w:lang w:val="sv-SE"/>
        </w:rPr>
        <w:t>hållbarhets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>rapporter</w:t>
      </w:r>
      <w:r w:rsidRPr="006B1AFC">
        <w:rPr>
          <w:rFonts w:ascii="Palatino Linotype" w:hAnsi="Palatino Linotype"/>
          <w:sz w:val="22"/>
          <w:szCs w:val="22"/>
          <w:lang w:val="sv-SE"/>
        </w:rPr>
        <w:t xml:space="preserve">ing. 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>Avhandlingen</w:t>
      </w:r>
      <w:r w:rsidRPr="006B1AFC">
        <w:rPr>
          <w:rFonts w:ascii="Palatino Linotype" w:hAnsi="Palatino Linotype"/>
          <w:sz w:val="22"/>
          <w:szCs w:val="22"/>
          <w:lang w:val="sv-SE"/>
        </w:rPr>
        <w:t xml:space="preserve">s jämförande 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>forsknings</w:t>
      </w:r>
      <w:r w:rsidRPr="006B1AFC">
        <w:rPr>
          <w:rFonts w:ascii="Palatino Linotype" w:hAnsi="Palatino Linotype"/>
          <w:sz w:val="22"/>
          <w:szCs w:val="22"/>
          <w:lang w:val="sv-SE"/>
        </w:rPr>
        <w:t xml:space="preserve">design och longitudinella ansats 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 xml:space="preserve">bidrar till att </w:t>
      </w:r>
      <w:r w:rsidRPr="006B1AFC">
        <w:rPr>
          <w:rFonts w:ascii="Palatino Linotype" w:hAnsi="Palatino Linotype"/>
          <w:sz w:val="22"/>
          <w:szCs w:val="22"/>
          <w:lang w:val="sv-SE"/>
        </w:rPr>
        <w:t>fyll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>a</w:t>
      </w:r>
      <w:r w:rsidRPr="006B1AFC">
        <w:rPr>
          <w:rFonts w:ascii="Palatino Linotype" w:hAnsi="Palatino Linotype"/>
          <w:sz w:val="22"/>
          <w:szCs w:val="22"/>
          <w:lang w:val="sv-SE"/>
        </w:rPr>
        <w:t xml:space="preserve"> luckor i befintlig litteratur. Praktiskt erbjuder resultaten policyimplikationer för beslutsfattare som 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>grund för</w:t>
      </w:r>
      <w:r w:rsidRPr="006B1AFC">
        <w:rPr>
          <w:rFonts w:ascii="Palatino Linotype" w:hAnsi="Palatino Linotype"/>
          <w:sz w:val="22"/>
          <w:szCs w:val="22"/>
          <w:lang w:val="sv-SE"/>
        </w:rPr>
        <w:t xml:space="preserve"> att utforma ramverk för hållbarhetsrapportering </w:t>
      </w:r>
      <w:r w:rsidR="00BB480F" w:rsidRPr="006B1AFC">
        <w:rPr>
          <w:rFonts w:ascii="Palatino Linotype" w:hAnsi="Palatino Linotype"/>
          <w:sz w:val="22"/>
          <w:szCs w:val="22"/>
          <w:lang w:val="sv-SE"/>
        </w:rPr>
        <w:t>som</w:t>
      </w:r>
      <w:r w:rsidRPr="006B1AFC">
        <w:rPr>
          <w:rFonts w:ascii="Palatino Linotype" w:hAnsi="Palatino Linotype"/>
          <w:sz w:val="22"/>
          <w:szCs w:val="22"/>
          <w:lang w:val="sv-SE"/>
        </w:rPr>
        <w:t xml:space="preserve"> främjar autentiska hållbarhetsomställningar på organisatorisk nivå.</w:t>
      </w:r>
    </w:p>
    <w:sectPr w:rsidR="008E625E" w:rsidRPr="006B1AFC">
      <w:headerReference w:type="even" r:id="rId6"/>
      <w:headerReference w:type="firs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D35A9" w14:textId="77777777" w:rsidR="00EB0B67" w:rsidRDefault="00EB0B67" w:rsidP="009E3AAB">
      <w:pPr>
        <w:spacing w:after="0" w:line="240" w:lineRule="auto"/>
      </w:pPr>
      <w:r>
        <w:separator/>
      </w:r>
    </w:p>
  </w:endnote>
  <w:endnote w:type="continuationSeparator" w:id="0">
    <w:p w14:paraId="53D62B07" w14:textId="77777777" w:rsidR="00EB0B67" w:rsidRDefault="00EB0B67" w:rsidP="009E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04842" w14:textId="77777777" w:rsidR="00EB0B67" w:rsidRDefault="00EB0B67" w:rsidP="009E3AAB">
      <w:pPr>
        <w:spacing w:after="0" w:line="240" w:lineRule="auto"/>
      </w:pPr>
      <w:r>
        <w:separator/>
      </w:r>
    </w:p>
  </w:footnote>
  <w:footnote w:type="continuationSeparator" w:id="0">
    <w:p w14:paraId="715F05CC" w14:textId="77777777" w:rsidR="00EB0B67" w:rsidRDefault="00EB0B67" w:rsidP="009E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54B30" w14:textId="45406478" w:rsidR="009E3AAB" w:rsidRDefault="009E3A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5B3319" wp14:editId="5B38404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2690" cy="370205"/>
              <wp:effectExtent l="0" t="0" r="3810" b="10795"/>
              <wp:wrapNone/>
              <wp:docPr id="1512972296" name="Text Box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269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52CED" w14:textId="2ED951FF" w:rsidR="009E3AAB" w:rsidRPr="009E3AAB" w:rsidRDefault="009E3AAB" w:rsidP="009E3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E3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B33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egränsad delning" style="position:absolute;margin-left:0;margin-top:0;width:94.7pt;height:29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" filled="f" stroked="f">
              <v:textbox style="mso-fit-shape-to-text:t" inset="20pt,15pt,0,0">
                <w:txbxContent>
                  <w:p w14:paraId="2E452CED" w14:textId="2ED951FF" w:rsidR="009E3AAB" w:rsidRPr="009E3AAB" w:rsidRDefault="009E3AAB" w:rsidP="009E3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E3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959F3" w14:textId="7C485B8D" w:rsidR="009E3AAB" w:rsidRDefault="009E3A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ED3511" wp14:editId="3099F60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2690" cy="370205"/>
              <wp:effectExtent l="0" t="0" r="3810" b="10795"/>
              <wp:wrapNone/>
              <wp:docPr id="1443903477" name="Text Box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269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00C23" w14:textId="371E7587" w:rsidR="009E3AAB" w:rsidRPr="009E3AAB" w:rsidRDefault="009E3AAB" w:rsidP="009E3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E3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D35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Begränsad delning" style="position:absolute;margin-left:0;margin-top:0;width:94.7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" filled="f" stroked="f">
              <v:textbox style="mso-fit-shape-to-text:t" inset="20pt,15pt,0,0">
                <w:txbxContent>
                  <w:p w14:paraId="5F400C23" w14:textId="371E7587" w:rsidR="009E3AAB" w:rsidRPr="009E3AAB" w:rsidRDefault="009E3AAB" w:rsidP="009E3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E3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37"/>
    <w:rsid w:val="00023437"/>
    <w:rsid w:val="001273F5"/>
    <w:rsid w:val="00170B71"/>
    <w:rsid w:val="0018274E"/>
    <w:rsid w:val="001D7AA6"/>
    <w:rsid w:val="002A6814"/>
    <w:rsid w:val="00405592"/>
    <w:rsid w:val="004D572B"/>
    <w:rsid w:val="006924D7"/>
    <w:rsid w:val="006B1AFC"/>
    <w:rsid w:val="007873BA"/>
    <w:rsid w:val="008310E5"/>
    <w:rsid w:val="008E625E"/>
    <w:rsid w:val="009E3AAB"/>
    <w:rsid w:val="00AD155A"/>
    <w:rsid w:val="00B92820"/>
    <w:rsid w:val="00BB480F"/>
    <w:rsid w:val="00C41BD0"/>
    <w:rsid w:val="00CF3000"/>
    <w:rsid w:val="00E0500A"/>
    <w:rsid w:val="00E06FCD"/>
    <w:rsid w:val="00E50EE1"/>
    <w:rsid w:val="00E62E07"/>
    <w:rsid w:val="00EB0B67"/>
    <w:rsid w:val="00F933AD"/>
    <w:rsid w:val="00FA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A6759F"/>
  <w15:chartTrackingRefBased/>
  <w15:docId w15:val="{FBB4BC6A-17E4-D14C-8C1C-A31BA289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4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4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4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4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4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4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4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3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AAB"/>
  </w:style>
  <w:style w:type="paragraph" w:styleId="Footer">
    <w:name w:val="footer"/>
    <w:basedOn w:val="Normal"/>
    <w:link w:val="FooterChar"/>
    <w:uiPriority w:val="99"/>
    <w:unhideWhenUsed/>
    <w:rsid w:val="00E62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E07"/>
  </w:style>
  <w:style w:type="paragraph" w:styleId="Revision">
    <w:name w:val="Revision"/>
    <w:hidden/>
    <w:uiPriority w:val="99"/>
    <w:semiHidden/>
    <w:rsid w:val="00BB4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Ammarah Tariq</dc:creator>
  <cp:keywords/>
  <dc:description/>
  <cp:lastModifiedBy>Ammarah Tariq</cp:lastModifiedBy>
  <cp:revision>3</cp:revision>
  <dcterms:created xsi:type="dcterms:W3CDTF">2025-08-11T10:57:00Z</dcterms:created>
  <dcterms:modified xsi:type="dcterms:W3CDTF">2025-08-11T10:59:00Z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561037f5,5a2e2008,6568e163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Begränsad delning</vt:lpwstr>
  </property>
  <property fmtid="{D5CDD505-2E9C-101B-9397-08002B2CF9AE}" pid="5" name="MSIP_Label_e7a9e035-fc31-4a12-9147-f5d37fc656b3_Enabled">
    <vt:lpwstr>true</vt:lpwstr>
  </property>
  <property fmtid="{D5CDD505-2E9C-101B-9397-08002B2CF9AE}" pid="6" name="MSIP_Label_e7a9e035-fc31-4a12-9147-f5d37fc656b3_SetDate">
    <vt:lpwstr>2025-08-06T14:06:44Z</vt:lpwstr>
  </property>
  <property fmtid="{D5CDD505-2E9C-101B-9397-08002B2CF9AE}" pid="7" name="MSIP_Label_e7a9e035-fc31-4a12-9147-f5d37fc656b3_Method">
    <vt:lpwstr>Standard</vt:lpwstr>
  </property>
  <property fmtid="{D5CDD505-2E9C-101B-9397-08002B2CF9AE}" pid="8" name="MSIP_Label_e7a9e035-fc31-4a12-9147-f5d37fc656b3_Name">
    <vt:lpwstr>Begränsad delning</vt:lpwstr>
  </property>
  <property fmtid="{D5CDD505-2E9C-101B-9397-08002B2CF9AE}" pid="9" name="MSIP_Label_e7a9e035-fc31-4a12-9147-f5d37fc656b3_SiteId">
    <vt:lpwstr>8234e57a-f0d7-4e7d-bac5-8f1a2c565e73</vt:lpwstr>
  </property>
  <property fmtid="{D5CDD505-2E9C-101B-9397-08002B2CF9AE}" pid="10" name="MSIP_Label_e7a9e035-fc31-4a12-9147-f5d37fc656b3_ActionId">
    <vt:lpwstr>5df664c4-9b2d-4113-829d-9856f923de35</vt:lpwstr>
  </property>
  <property fmtid="{D5CDD505-2E9C-101B-9397-08002B2CF9AE}" pid="11" name="MSIP_Label_e7a9e035-fc31-4a12-9147-f5d37fc656b3_ContentBits">
    <vt:lpwstr>1</vt:lpwstr>
  </property>
  <property fmtid="{D5CDD505-2E9C-101B-9397-08002B2CF9AE}" pid="12" name="MSIP_Label_e7a9e035-fc31-4a12-9147-f5d37fc656b3_Tag">
    <vt:lpwstr>50, 3, 0, 1</vt:lpwstr>
  </property>
</Properties>
</file>