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9F13" w14:textId="77777777" w:rsidR="00DE5E34" w:rsidRDefault="00D41207" w:rsidP="00680BBA">
      <w:pP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AB364B">
        <w:rPr>
          <w:noProof/>
          <w:lang w:eastAsia="sv-SE"/>
        </w:rPr>
        <w:drawing>
          <wp:inline distT="0" distB="0" distL="0" distR="0" wp14:anchorId="01EC6C48" wp14:editId="6602B822">
            <wp:extent cx="1780540" cy="841375"/>
            <wp:effectExtent l="0" t="0" r="0" b="0"/>
            <wp:docPr id="4" name="Bild 1" descr="MU_logotyp_int_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_logotyp_int_l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540" cy="841375"/>
                    </a:xfrm>
                    <a:prstGeom prst="rect">
                      <a:avLst/>
                    </a:prstGeom>
                    <a:noFill/>
                    <a:ln>
                      <a:noFill/>
                    </a:ln>
                  </pic:spPr>
                </pic:pic>
              </a:graphicData>
            </a:graphic>
          </wp:inline>
        </w:drawing>
      </w:r>
    </w:p>
    <w:p w14:paraId="0C0A8A46" w14:textId="77777777" w:rsidR="00DE5E34" w:rsidRPr="00BA6651" w:rsidRDefault="00BA6651" w:rsidP="00680BBA">
      <w:pPr>
        <w:rPr>
          <w:rFonts w:ascii="Times New Roman" w:hAnsi="Times New Roman"/>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roofErr w:type="spellStart"/>
      <w:r>
        <w:rPr>
          <w:rFonts w:ascii="Times New Roman" w:hAnsi="Times New Roman"/>
        </w:rPr>
        <w:t>Miun</w:t>
      </w:r>
      <w:proofErr w:type="spellEnd"/>
      <w:r>
        <w:rPr>
          <w:rFonts w:ascii="Times New Roman" w:hAnsi="Times New Roman"/>
        </w:rPr>
        <w:t xml:space="preserve"> Dnr 2014/41</w:t>
      </w:r>
      <w:r w:rsidRPr="00BA6651">
        <w:rPr>
          <w:rFonts w:ascii="Times New Roman" w:hAnsi="Times New Roman"/>
        </w:rPr>
        <w:t>9</w:t>
      </w:r>
    </w:p>
    <w:p w14:paraId="0B676857" w14:textId="77777777" w:rsidR="00DE5E34" w:rsidRDefault="00DE5E34" w:rsidP="00680BBA">
      <w:pPr>
        <w:rPr>
          <w:rFonts w:ascii="Times New Roman" w:hAnsi="Times New Roman"/>
          <w:b/>
          <w:sz w:val="28"/>
          <w:szCs w:val="28"/>
        </w:rPr>
      </w:pPr>
    </w:p>
    <w:p w14:paraId="191A7AF8" w14:textId="77777777" w:rsidR="00DE5E34" w:rsidRDefault="00DE5E34" w:rsidP="00680BBA">
      <w:pPr>
        <w:rPr>
          <w:rFonts w:ascii="Times New Roman" w:hAnsi="Times New Roman"/>
          <w:b/>
          <w:sz w:val="28"/>
          <w:szCs w:val="28"/>
        </w:rPr>
      </w:pPr>
    </w:p>
    <w:p w14:paraId="27EC39C3" w14:textId="77777777" w:rsidR="00DE5E34" w:rsidRDefault="00DE5E34" w:rsidP="00680BBA">
      <w:pPr>
        <w:rPr>
          <w:rFonts w:ascii="Times New Roman" w:hAnsi="Times New Roman"/>
          <w:b/>
          <w:sz w:val="28"/>
          <w:szCs w:val="28"/>
        </w:rPr>
      </w:pPr>
    </w:p>
    <w:p w14:paraId="2C70B420" w14:textId="77777777" w:rsidR="00DE5E34" w:rsidRDefault="00DE5E34" w:rsidP="00680BBA">
      <w:pPr>
        <w:rPr>
          <w:rFonts w:ascii="Times New Roman" w:hAnsi="Times New Roman"/>
          <w:b/>
          <w:sz w:val="28"/>
          <w:szCs w:val="28"/>
        </w:rPr>
      </w:pPr>
    </w:p>
    <w:p w14:paraId="7ABAF1A2" w14:textId="77777777" w:rsidR="00DE5E34" w:rsidRDefault="00DE5E34" w:rsidP="00680BBA">
      <w:pPr>
        <w:rPr>
          <w:rFonts w:ascii="Times New Roman" w:hAnsi="Times New Roman"/>
          <w:b/>
          <w:sz w:val="28"/>
          <w:szCs w:val="28"/>
        </w:rPr>
      </w:pPr>
    </w:p>
    <w:p w14:paraId="70D4D506" w14:textId="77777777" w:rsidR="00DE5E34" w:rsidRDefault="00DE5E34" w:rsidP="00680BBA">
      <w:pPr>
        <w:rPr>
          <w:rFonts w:ascii="Times New Roman" w:hAnsi="Times New Roman"/>
          <w:b/>
          <w:sz w:val="28"/>
          <w:szCs w:val="28"/>
        </w:rPr>
      </w:pPr>
    </w:p>
    <w:p w14:paraId="2FFD4D14" w14:textId="77777777" w:rsidR="00DE5E34" w:rsidRDefault="00DE5E34" w:rsidP="00680BBA">
      <w:pPr>
        <w:rPr>
          <w:rFonts w:ascii="Times New Roman" w:hAnsi="Times New Roman"/>
          <w:b/>
          <w:sz w:val="28"/>
          <w:szCs w:val="28"/>
        </w:rPr>
      </w:pPr>
    </w:p>
    <w:p w14:paraId="2382C286" w14:textId="77777777" w:rsidR="00DE5E34" w:rsidRPr="00DE5E34" w:rsidRDefault="005D07E2" w:rsidP="00276DFC">
      <w:pPr>
        <w:jc w:val="center"/>
        <w:rPr>
          <w:rFonts w:ascii="Times New Roman" w:hAnsi="Times New Roman"/>
          <w:b/>
          <w:sz w:val="48"/>
          <w:szCs w:val="48"/>
        </w:rPr>
      </w:pPr>
      <w:r>
        <w:rPr>
          <w:rFonts w:ascii="Times New Roman" w:hAnsi="Times New Roman"/>
          <w:b/>
          <w:sz w:val="48"/>
          <w:szCs w:val="48"/>
        </w:rPr>
        <w:t>Mittuniversitetets</w:t>
      </w:r>
      <w:r w:rsidR="00AB011D">
        <w:rPr>
          <w:rFonts w:ascii="Times New Roman" w:hAnsi="Times New Roman"/>
          <w:b/>
          <w:sz w:val="48"/>
          <w:szCs w:val="48"/>
        </w:rPr>
        <w:t xml:space="preserve"> redovisningsmodell för </w:t>
      </w:r>
      <w:r w:rsidR="00A5041B">
        <w:rPr>
          <w:rFonts w:ascii="Times New Roman" w:hAnsi="Times New Roman"/>
          <w:b/>
          <w:sz w:val="48"/>
          <w:szCs w:val="48"/>
        </w:rPr>
        <w:t xml:space="preserve">direkta och </w:t>
      </w:r>
      <w:r w:rsidR="00DE5E34" w:rsidRPr="00DE5E34">
        <w:rPr>
          <w:rFonts w:ascii="Times New Roman" w:hAnsi="Times New Roman"/>
          <w:b/>
          <w:sz w:val="48"/>
          <w:szCs w:val="48"/>
        </w:rPr>
        <w:t>indirekta kostnader</w:t>
      </w:r>
      <w:r w:rsidR="00BF3C3B">
        <w:rPr>
          <w:rFonts w:ascii="Times New Roman" w:hAnsi="Times New Roman"/>
          <w:b/>
          <w:sz w:val="48"/>
          <w:szCs w:val="48"/>
        </w:rPr>
        <w:t xml:space="preserve"> och lokaler</w:t>
      </w:r>
    </w:p>
    <w:p w14:paraId="6A6D4261" w14:textId="77777777" w:rsidR="00DE5E34" w:rsidRDefault="00DE5E34" w:rsidP="00680BBA">
      <w:pPr>
        <w:rPr>
          <w:rFonts w:ascii="Times New Roman" w:hAnsi="Times New Roman"/>
          <w:b/>
          <w:sz w:val="28"/>
          <w:szCs w:val="28"/>
        </w:rPr>
      </w:pPr>
    </w:p>
    <w:p w14:paraId="7C9869D0" w14:textId="77777777" w:rsidR="00DE5E34" w:rsidRDefault="00DE5E34" w:rsidP="00680BBA">
      <w:pPr>
        <w:rPr>
          <w:rFonts w:ascii="Times New Roman" w:hAnsi="Times New Roman"/>
          <w:b/>
          <w:sz w:val="28"/>
          <w:szCs w:val="28"/>
        </w:rPr>
      </w:pPr>
    </w:p>
    <w:p w14:paraId="7E2043F3" w14:textId="77777777" w:rsidR="00DE5E34" w:rsidRDefault="00DE5E34" w:rsidP="00680BBA">
      <w:pPr>
        <w:rPr>
          <w:rFonts w:ascii="Times New Roman" w:hAnsi="Times New Roman"/>
          <w:b/>
          <w:sz w:val="28"/>
          <w:szCs w:val="28"/>
        </w:rPr>
      </w:pPr>
    </w:p>
    <w:p w14:paraId="36DBB6FE" w14:textId="77777777" w:rsidR="00DE5E34" w:rsidRDefault="00DE5E34" w:rsidP="00680BBA">
      <w:pPr>
        <w:rPr>
          <w:rFonts w:ascii="Times New Roman" w:hAnsi="Times New Roman"/>
          <w:b/>
          <w:sz w:val="28"/>
          <w:szCs w:val="28"/>
        </w:rPr>
      </w:pPr>
    </w:p>
    <w:p w14:paraId="2607EF8A" w14:textId="77777777" w:rsidR="00DE5E34" w:rsidRDefault="00DE5E34" w:rsidP="00680BBA">
      <w:pPr>
        <w:rPr>
          <w:rFonts w:ascii="Times New Roman" w:hAnsi="Times New Roman"/>
          <w:b/>
          <w:sz w:val="28"/>
          <w:szCs w:val="28"/>
        </w:rPr>
      </w:pPr>
    </w:p>
    <w:p w14:paraId="197D3CA1" w14:textId="77777777" w:rsidR="00DE5E34" w:rsidRDefault="00DE5E34" w:rsidP="00680BBA">
      <w:pPr>
        <w:rPr>
          <w:rFonts w:ascii="Times New Roman" w:hAnsi="Times New Roman"/>
          <w:b/>
          <w:sz w:val="28"/>
          <w:szCs w:val="28"/>
        </w:rPr>
      </w:pPr>
    </w:p>
    <w:p w14:paraId="748BA881" w14:textId="77777777" w:rsidR="00DE5E34" w:rsidRDefault="00DE5E34" w:rsidP="00680BBA">
      <w:pPr>
        <w:rPr>
          <w:rFonts w:ascii="Times New Roman" w:hAnsi="Times New Roman"/>
          <w:b/>
          <w:sz w:val="28"/>
          <w:szCs w:val="28"/>
        </w:rPr>
      </w:pPr>
    </w:p>
    <w:p w14:paraId="2CCC49A9" w14:textId="77777777" w:rsidR="00DE5E34" w:rsidRDefault="00DE5E34" w:rsidP="00680BBA">
      <w:pPr>
        <w:rPr>
          <w:rFonts w:ascii="Times New Roman" w:hAnsi="Times New Roman"/>
          <w:b/>
          <w:sz w:val="28"/>
          <w:szCs w:val="28"/>
        </w:rPr>
      </w:pPr>
    </w:p>
    <w:p w14:paraId="3432A858" w14:textId="77777777" w:rsidR="00DE5E34" w:rsidRDefault="00DE5E34" w:rsidP="00680BBA">
      <w:pPr>
        <w:rPr>
          <w:rFonts w:ascii="Times New Roman" w:hAnsi="Times New Roman"/>
          <w:b/>
          <w:sz w:val="28"/>
          <w:szCs w:val="28"/>
        </w:rPr>
      </w:pPr>
    </w:p>
    <w:p w14:paraId="16710A8B" w14:textId="77777777" w:rsidR="005D07E2" w:rsidRDefault="005D07E2" w:rsidP="00680BBA">
      <w:pPr>
        <w:rPr>
          <w:rFonts w:ascii="Times New Roman" w:hAnsi="Times New Roman"/>
          <w:b/>
          <w:sz w:val="28"/>
          <w:szCs w:val="28"/>
        </w:rPr>
      </w:pPr>
    </w:p>
    <w:p w14:paraId="09AE306B" w14:textId="77777777" w:rsidR="005D07E2" w:rsidRDefault="005D07E2" w:rsidP="00680BBA">
      <w:pPr>
        <w:rPr>
          <w:rFonts w:ascii="Times New Roman" w:hAnsi="Times New Roman"/>
          <w:b/>
          <w:sz w:val="28"/>
          <w:szCs w:val="28"/>
        </w:rPr>
      </w:pPr>
    </w:p>
    <w:p w14:paraId="7A843C01" w14:textId="77777777" w:rsidR="005D07E2" w:rsidRDefault="00931DC5" w:rsidP="005D07E2">
      <w:pPr>
        <w:spacing w:after="0"/>
        <w:rPr>
          <w:rFonts w:ascii="Times New Roman" w:hAnsi="Times New Roman"/>
          <w:b/>
          <w:sz w:val="28"/>
          <w:szCs w:val="28"/>
        </w:rPr>
      </w:pPr>
      <w:r>
        <w:rPr>
          <w:rFonts w:ascii="Times New Roman" w:hAnsi="Times New Roman"/>
          <w:b/>
          <w:sz w:val="28"/>
          <w:szCs w:val="28"/>
        </w:rPr>
        <w:lastRenderedPageBreak/>
        <w:t>MITTUNIVERSITETET</w:t>
      </w:r>
    </w:p>
    <w:p w14:paraId="3DFEE8FA" w14:textId="77777777" w:rsidR="00BA6651" w:rsidRDefault="00931DC5" w:rsidP="0000631D">
      <w:pPr>
        <w:spacing w:after="0"/>
        <w:rPr>
          <w:rFonts w:ascii="Times New Roman" w:hAnsi="Times New Roman"/>
        </w:rPr>
      </w:pPr>
      <w:r>
        <w:rPr>
          <w:rFonts w:ascii="Times New Roman" w:hAnsi="Times New Roman"/>
          <w:b/>
          <w:sz w:val="28"/>
          <w:szCs w:val="28"/>
        </w:rPr>
        <w:t>Ekonomiavdelningen</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roofErr w:type="spellStart"/>
      <w:r w:rsidR="00BA6651">
        <w:rPr>
          <w:rFonts w:ascii="Times New Roman" w:hAnsi="Times New Roman"/>
        </w:rPr>
        <w:t>Miun</w:t>
      </w:r>
      <w:proofErr w:type="spellEnd"/>
      <w:r w:rsidR="00BA6651">
        <w:rPr>
          <w:rFonts w:ascii="Times New Roman" w:hAnsi="Times New Roman"/>
        </w:rPr>
        <w:t xml:space="preserve"> Dnr 2014/41</w:t>
      </w:r>
      <w:r w:rsidR="00BA6651" w:rsidRPr="00BA6651">
        <w:rPr>
          <w:rFonts w:ascii="Times New Roman" w:hAnsi="Times New Roman"/>
        </w:rPr>
        <w:t>9</w:t>
      </w:r>
    </w:p>
    <w:p w14:paraId="773C86F9" w14:textId="77777777" w:rsidR="00931DC5" w:rsidRDefault="0000631D" w:rsidP="00BA6651">
      <w:pPr>
        <w:spacing w:after="0"/>
        <w:ind w:left="5216" w:firstLine="1304"/>
        <w:rPr>
          <w:rFonts w:ascii="Times New Roman" w:hAnsi="Times New Roman"/>
        </w:rPr>
      </w:pPr>
      <w:r>
        <w:rPr>
          <w:rFonts w:ascii="Times New Roman" w:hAnsi="Times New Roman"/>
        </w:rPr>
        <w:t>2014-</w:t>
      </w:r>
      <w:r w:rsidR="00BA6651">
        <w:rPr>
          <w:rFonts w:ascii="Times New Roman" w:hAnsi="Times New Roman"/>
        </w:rPr>
        <w:t>03-20</w:t>
      </w:r>
      <w:r w:rsidR="008E0093">
        <w:rPr>
          <w:rFonts w:ascii="Times New Roman" w:hAnsi="Times New Roman"/>
        </w:rPr>
        <w:t xml:space="preserve"> </w:t>
      </w:r>
    </w:p>
    <w:p w14:paraId="6812FB96" w14:textId="4D92E765" w:rsidR="00500C86" w:rsidRPr="00734D20" w:rsidRDefault="008E0093" w:rsidP="00500C86">
      <w:pPr>
        <w:spacing w:after="0"/>
        <w:ind w:left="5216" w:firstLine="1304"/>
        <w:rPr>
          <w:rFonts w:ascii="Times New Roman" w:hAnsi="Times New Roman"/>
          <w:u w:val="single"/>
        </w:rPr>
      </w:pPr>
      <w:r w:rsidRPr="00734D20">
        <w:rPr>
          <w:rFonts w:ascii="Times New Roman" w:hAnsi="Times New Roman"/>
          <w:u w:val="single"/>
        </w:rPr>
        <w:t xml:space="preserve">Rev </w:t>
      </w:r>
      <w:r w:rsidR="004C2E64">
        <w:rPr>
          <w:rFonts w:ascii="Times New Roman" w:hAnsi="Times New Roman"/>
          <w:u w:val="single"/>
        </w:rPr>
        <w:t>2024-03-12</w:t>
      </w:r>
    </w:p>
    <w:p w14:paraId="3B4A9085" w14:textId="77777777" w:rsidR="008D1347" w:rsidRDefault="00800BF5" w:rsidP="0000631D">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36970ECA" w14:textId="77777777" w:rsidR="006F490F" w:rsidRPr="00A65616" w:rsidRDefault="006F490F" w:rsidP="00680BBA">
      <w:pPr>
        <w:rPr>
          <w:rFonts w:ascii="Times New Roman" w:hAnsi="Times New Roman"/>
          <w:sz w:val="20"/>
          <w:szCs w:val="20"/>
        </w:rPr>
      </w:pPr>
    </w:p>
    <w:p w14:paraId="5C1F385E" w14:textId="77777777" w:rsidR="00931DC5" w:rsidRDefault="00931DC5" w:rsidP="00680BBA">
      <w:pPr>
        <w:rPr>
          <w:rFonts w:ascii="Times New Roman" w:hAnsi="Times New Roman"/>
          <w:b/>
          <w:sz w:val="28"/>
          <w:szCs w:val="28"/>
        </w:rPr>
      </w:pPr>
    </w:p>
    <w:p w14:paraId="34C257F3" w14:textId="77777777" w:rsidR="00680BBA" w:rsidRPr="00680BBA" w:rsidRDefault="00680BBA" w:rsidP="00680BBA">
      <w:pPr>
        <w:rPr>
          <w:rFonts w:ascii="Times New Roman" w:hAnsi="Times New Roman"/>
          <w:b/>
          <w:sz w:val="28"/>
          <w:szCs w:val="28"/>
        </w:rPr>
      </w:pPr>
      <w:r w:rsidRPr="00680BBA">
        <w:rPr>
          <w:rFonts w:ascii="Times New Roman" w:hAnsi="Times New Roman"/>
          <w:b/>
          <w:sz w:val="28"/>
          <w:szCs w:val="28"/>
        </w:rPr>
        <w:t>INNEHÅLLSFÖRTECKNING</w:t>
      </w:r>
    </w:p>
    <w:p w14:paraId="1EB4CB0A" w14:textId="77777777" w:rsidR="00680BBA" w:rsidRPr="00680BBA" w:rsidRDefault="00680BBA" w:rsidP="00680BBA">
      <w:pPr>
        <w:rPr>
          <w:rFonts w:ascii="Times New Roman" w:hAnsi="Times New Roman"/>
          <w:b/>
          <w:sz w:val="36"/>
          <w:szCs w:val="36"/>
        </w:rPr>
      </w:pPr>
    </w:p>
    <w:p w14:paraId="18DDF63B" w14:textId="77777777" w:rsidR="001E569E" w:rsidRDefault="00680BBA">
      <w:pPr>
        <w:pStyle w:val="Innehll1"/>
        <w:rPr>
          <w:rFonts w:asciiTheme="minorHAnsi" w:eastAsiaTheme="minorEastAsia" w:hAnsiTheme="minorHAnsi" w:cstheme="minorBidi"/>
          <w:b w:val="0"/>
          <w:sz w:val="22"/>
          <w:szCs w:val="22"/>
        </w:rPr>
      </w:pPr>
      <w:r w:rsidRPr="00680BBA">
        <w:rPr>
          <w:sz w:val="36"/>
          <w:szCs w:val="36"/>
        </w:rPr>
        <w:fldChar w:fldCharType="begin"/>
      </w:r>
      <w:r w:rsidRPr="00680BBA">
        <w:rPr>
          <w:sz w:val="36"/>
          <w:szCs w:val="36"/>
        </w:rPr>
        <w:instrText xml:space="preserve"> TOC \o "1-3" \h \z \u </w:instrText>
      </w:r>
      <w:r w:rsidRPr="00680BBA">
        <w:rPr>
          <w:sz w:val="36"/>
          <w:szCs w:val="36"/>
        </w:rPr>
        <w:fldChar w:fldCharType="separate"/>
      </w:r>
      <w:hyperlink w:anchor="_Toc58848000" w:history="1">
        <w:r w:rsidR="001E569E" w:rsidRPr="00583B68">
          <w:rPr>
            <w:rStyle w:val="Hyperlnk"/>
          </w:rPr>
          <w:t>1</w:t>
        </w:r>
        <w:r w:rsidR="001E569E">
          <w:rPr>
            <w:rFonts w:asciiTheme="minorHAnsi" w:eastAsiaTheme="minorEastAsia" w:hAnsiTheme="minorHAnsi" w:cstheme="minorBidi"/>
            <w:b w:val="0"/>
            <w:sz w:val="22"/>
            <w:szCs w:val="22"/>
          </w:rPr>
          <w:tab/>
        </w:r>
        <w:r w:rsidR="001E569E" w:rsidRPr="00583B68">
          <w:rPr>
            <w:rStyle w:val="Hyperlnk"/>
          </w:rPr>
          <w:t>Inledning och sammanfattning av modellen</w:t>
        </w:r>
        <w:r w:rsidR="001E569E">
          <w:rPr>
            <w:webHidden/>
          </w:rPr>
          <w:tab/>
        </w:r>
        <w:r w:rsidR="001E569E">
          <w:rPr>
            <w:webHidden/>
          </w:rPr>
          <w:fldChar w:fldCharType="begin"/>
        </w:r>
        <w:r w:rsidR="001E569E">
          <w:rPr>
            <w:webHidden/>
          </w:rPr>
          <w:instrText xml:space="preserve"> PAGEREF _Toc58848000 \h </w:instrText>
        </w:r>
        <w:r w:rsidR="001E569E">
          <w:rPr>
            <w:webHidden/>
          </w:rPr>
        </w:r>
        <w:r w:rsidR="001E569E">
          <w:rPr>
            <w:webHidden/>
          </w:rPr>
          <w:fldChar w:fldCharType="separate"/>
        </w:r>
        <w:r w:rsidR="001E569E">
          <w:rPr>
            <w:webHidden/>
          </w:rPr>
          <w:t>3</w:t>
        </w:r>
        <w:r w:rsidR="001E569E">
          <w:rPr>
            <w:webHidden/>
          </w:rPr>
          <w:fldChar w:fldCharType="end"/>
        </w:r>
      </w:hyperlink>
    </w:p>
    <w:p w14:paraId="163C06BC" w14:textId="77777777" w:rsidR="001E569E" w:rsidRDefault="003E6675">
      <w:pPr>
        <w:pStyle w:val="Innehll1"/>
        <w:rPr>
          <w:rFonts w:asciiTheme="minorHAnsi" w:eastAsiaTheme="minorEastAsia" w:hAnsiTheme="minorHAnsi" w:cstheme="minorBidi"/>
          <w:b w:val="0"/>
          <w:sz w:val="22"/>
          <w:szCs w:val="22"/>
        </w:rPr>
      </w:pPr>
      <w:hyperlink w:anchor="_Toc58848001" w:history="1">
        <w:r w:rsidR="001E569E" w:rsidRPr="00583B68">
          <w:rPr>
            <w:rStyle w:val="Hyperlnk"/>
          </w:rPr>
          <w:t>2. Redovisningsmodell för direkta och indirekta kostnader</w:t>
        </w:r>
        <w:r w:rsidR="001E569E">
          <w:rPr>
            <w:webHidden/>
          </w:rPr>
          <w:tab/>
        </w:r>
        <w:r w:rsidR="001E569E">
          <w:rPr>
            <w:webHidden/>
          </w:rPr>
          <w:fldChar w:fldCharType="begin"/>
        </w:r>
        <w:r w:rsidR="001E569E">
          <w:rPr>
            <w:webHidden/>
          </w:rPr>
          <w:instrText xml:space="preserve"> PAGEREF _Toc58848001 \h </w:instrText>
        </w:r>
        <w:r w:rsidR="001E569E">
          <w:rPr>
            <w:webHidden/>
          </w:rPr>
        </w:r>
        <w:r w:rsidR="001E569E">
          <w:rPr>
            <w:webHidden/>
          </w:rPr>
          <w:fldChar w:fldCharType="separate"/>
        </w:r>
        <w:r w:rsidR="001E569E">
          <w:rPr>
            <w:webHidden/>
          </w:rPr>
          <w:t>4</w:t>
        </w:r>
        <w:r w:rsidR="001E569E">
          <w:rPr>
            <w:webHidden/>
          </w:rPr>
          <w:fldChar w:fldCharType="end"/>
        </w:r>
      </w:hyperlink>
    </w:p>
    <w:p w14:paraId="17DB10D9" w14:textId="77777777" w:rsidR="001E569E" w:rsidRDefault="003E6675">
      <w:pPr>
        <w:pStyle w:val="Innehll2"/>
        <w:tabs>
          <w:tab w:val="left" w:pos="880"/>
          <w:tab w:val="right" w:leader="dot" w:pos="9062"/>
        </w:tabs>
        <w:rPr>
          <w:rFonts w:asciiTheme="minorHAnsi" w:eastAsiaTheme="minorEastAsia" w:hAnsiTheme="minorHAnsi" w:cstheme="minorBidi"/>
          <w:noProof/>
          <w:sz w:val="22"/>
          <w:szCs w:val="22"/>
        </w:rPr>
      </w:pPr>
      <w:hyperlink w:anchor="_Toc58848002" w:history="1">
        <w:r w:rsidR="001E569E" w:rsidRPr="00583B68">
          <w:rPr>
            <w:rStyle w:val="Hyperlnk"/>
            <w:noProof/>
          </w:rPr>
          <w:t>2.1</w:t>
        </w:r>
        <w:r w:rsidR="001E569E">
          <w:rPr>
            <w:rFonts w:asciiTheme="minorHAnsi" w:eastAsiaTheme="minorEastAsia" w:hAnsiTheme="minorHAnsi" w:cstheme="minorBidi"/>
            <w:noProof/>
            <w:sz w:val="22"/>
            <w:szCs w:val="22"/>
          </w:rPr>
          <w:tab/>
        </w:r>
        <w:r w:rsidR="001E569E" w:rsidRPr="00583B68">
          <w:rPr>
            <w:rStyle w:val="Hyperlnk"/>
            <w:noProof/>
          </w:rPr>
          <w:t>Definitioner</w:t>
        </w:r>
        <w:r w:rsidR="001E569E">
          <w:rPr>
            <w:noProof/>
            <w:webHidden/>
          </w:rPr>
          <w:tab/>
        </w:r>
        <w:r w:rsidR="001E569E">
          <w:rPr>
            <w:noProof/>
            <w:webHidden/>
          </w:rPr>
          <w:fldChar w:fldCharType="begin"/>
        </w:r>
        <w:r w:rsidR="001E569E">
          <w:rPr>
            <w:noProof/>
            <w:webHidden/>
          </w:rPr>
          <w:instrText xml:space="preserve"> PAGEREF _Toc58848002 \h </w:instrText>
        </w:r>
        <w:r w:rsidR="001E569E">
          <w:rPr>
            <w:noProof/>
            <w:webHidden/>
          </w:rPr>
        </w:r>
        <w:r w:rsidR="001E569E">
          <w:rPr>
            <w:noProof/>
            <w:webHidden/>
          </w:rPr>
          <w:fldChar w:fldCharType="separate"/>
        </w:r>
        <w:r w:rsidR="001E569E">
          <w:rPr>
            <w:noProof/>
            <w:webHidden/>
          </w:rPr>
          <w:t>4</w:t>
        </w:r>
        <w:r w:rsidR="001E569E">
          <w:rPr>
            <w:noProof/>
            <w:webHidden/>
          </w:rPr>
          <w:fldChar w:fldCharType="end"/>
        </w:r>
      </w:hyperlink>
    </w:p>
    <w:p w14:paraId="4A22114D" w14:textId="77777777" w:rsidR="001E569E" w:rsidRDefault="003E6675">
      <w:pPr>
        <w:pStyle w:val="Innehll2"/>
        <w:tabs>
          <w:tab w:val="left" w:pos="880"/>
          <w:tab w:val="right" w:leader="dot" w:pos="9062"/>
        </w:tabs>
        <w:rPr>
          <w:rFonts w:asciiTheme="minorHAnsi" w:eastAsiaTheme="minorEastAsia" w:hAnsiTheme="minorHAnsi" w:cstheme="minorBidi"/>
          <w:noProof/>
          <w:sz w:val="22"/>
          <w:szCs w:val="22"/>
        </w:rPr>
      </w:pPr>
      <w:hyperlink w:anchor="_Toc58848003" w:history="1">
        <w:r w:rsidR="001E569E" w:rsidRPr="00583B68">
          <w:rPr>
            <w:rStyle w:val="Hyperlnk"/>
            <w:noProof/>
          </w:rPr>
          <w:t>2.2</w:t>
        </w:r>
        <w:r w:rsidR="001E569E">
          <w:rPr>
            <w:rFonts w:asciiTheme="minorHAnsi" w:eastAsiaTheme="minorEastAsia" w:hAnsiTheme="minorHAnsi" w:cstheme="minorBidi"/>
            <w:noProof/>
            <w:sz w:val="22"/>
            <w:szCs w:val="22"/>
          </w:rPr>
          <w:tab/>
        </w:r>
        <w:r w:rsidR="001E569E" w:rsidRPr="00583B68">
          <w:rPr>
            <w:rStyle w:val="Hyperlnk"/>
            <w:noProof/>
          </w:rPr>
          <w:t>Kort om modellen</w:t>
        </w:r>
        <w:r w:rsidR="001E569E">
          <w:rPr>
            <w:noProof/>
            <w:webHidden/>
          </w:rPr>
          <w:tab/>
        </w:r>
        <w:r w:rsidR="001E569E">
          <w:rPr>
            <w:noProof/>
            <w:webHidden/>
          </w:rPr>
          <w:fldChar w:fldCharType="begin"/>
        </w:r>
        <w:r w:rsidR="001E569E">
          <w:rPr>
            <w:noProof/>
            <w:webHidden/>
          </w:rPr>
          <w:instrText xml:space="preserve"> PAGEREF _Toc58848003 \h </w:instrText>
        </w:r>
        <w:r w:rsidR="001E569E">
          <w:rPr>
            <w:noProof/>
            <w:webHidden/>
          </w:rPr>
        </w:r>
        <w:r w:rsidR="001E569E">
          <w:rPr>
            <w:noProof/>
            <w:webHidden/>
          </w:rPr>
          <w:fldChar w:fldCharType="separate"/>
        </w:r>
        <w:r w:rsidR="001E569E">
          <w:rPr>
            <w:noProof/>
            <w:webHidden/>
          </w:rPr>
          <w:t>5</w:t>
        </w:r>
        <w:r w:rsidR="001E569E">
          <w:rPr>
            <w:noProof/>
            <w:webHidden/>
          </w:rPr>
          <w:fldChar w:fldCharType="end"/>
        </w:r>
      </w:hyperlink>
    </w:p>
    <w:p w14:paraId="17FE80DB" w14:textId="77777777" w:rsidR="001E569E" w:rsidRDefault="003E6675">
      <w:pPr>
        <w:pStyle w:val="Innehll3"/>
        <w:tabs>
          <w:tab w:val="left" w:pos="1320"/>
          <w:tab w:val="right" w:leader="dot" w:pos="9062"/>
        </w:tabs>
        <w:rPr>
          <w:rFonts w:asciiTheme="minorHAnsi" w:eastAsiaTheme="minorEastAsia" w:hAnsiTheme="minorHAnsi" w:cstheme="minorBidi"/>
          <w:noProof/>
          <w:szCs w:val="22"/>
          <w:lang w:eastAsia="sv-SE"/>
        </w:rPr>
      </w:pPr>
      <w:hyperlink w:anchor="_Toc58848004" w:history="1">
        <w:r w:rsidR="001E569E" w:rsidRPr="00583B68">
          <w:rPr>
            <w:rStyle w:val="Hyperlnk"/>
            <w:noProof/>
          </w:rPr>
          <w:t>2.2.1</w:t>
        </w:r>
        <w:r w:rsidR="001E569E">
          <w:rPr>
            <w:rFonts w:asciiTheme="minorHAnsi" w:eastAsiaTheme="minorEastAsia" w:hAnsiTheme="minorHAnsi" w:cstheme="minorBidi"/>
            <w:noProof/>
            <w:szCs w:val="22"/>
            <w:lang w:eastAsia="sv-SE"/>
          </w:rPr>
          <w:tab/>
        </w:r>
        <w:r w:rsidR="001E569E" w:rsidRPr="00583B68">
          <w:rPr>
            <w:rStyle w:val="Hyperlnk"/>
            <w:noProof/>
          </w:rPr>
          <w:t>Procentuellt påslag på direkt lön samt direkt lön och konsulter</w:t>
        </w:r>
        <w:r w:rsidR="001E569E">
          <w:rPr>
            <w:noProof/>
            <w:webHidden/>
          </w:rPr>
          <w:tab/>
        </w:r>
        <w:r w:rsidR="001E569E">
          <w:rPr>
            <w:noProof/>
            <w:webHidden/>
          </w:rPr>
          <w:fldChar w:fldCharType="begin"/>
        </w:r>
        <w:r w:rsidR="001E569E">
          <w:rPr>
            <w:noProof/>
            <w:webHidden/>
          </w:rPr>
          <w:instrText xml:space="preserve"> PAGEREF _Toc58848004 \h </w:instrText>
        </w:r>
        <w:r w:rsidR="001E569E">
          <w:rPr>
            <w:noProof/>
            <w:webHidden/>
          </w:rPr>
        </w:r>
        <w:r w:rsidR="001E569E">
          <w:rPr>
            <w:noProof/>
            <w:webHidden/>
          </w:rPr>
          <w:fldChar w:fldCharType="separate"/>
        </w:r>
        <w:r w:rsidR="001E569E">
          <w:rPr>
            <w:noProof/>
            <w:webHidden/>
          </w:rPr>
          <w:t>5</w:t>
        </w:r>
        <w:r w:rsidR="001E569E">
          <w:rPr>
            <w:noProof/>
            <w:webHidden/>
          </w:rPr>
          <w:fldChar w:fldCharType="end"/>
        </w:r>
      </w:hyperlink>
    </w:p>
    <w:p w14:paraId="19A208C9" w14:textId="77777777" w:rsidR="001E569E" w:rsidRDefault="003E6675">
      <w:pPr>
        <w:pStyle w:val="Innehll3"/>
        <w:tabs>
          <w:tab w:val="left" w:pos="1320"/>
          <w:tab w:val="right" w:leader="dot" w:pos="9062"/>
        </w:tabs>
        <w:rPr>
          <w:rFonts w:asciiTheme="minorHAnsi" w:eastAsiaTheme="minorEastAsia" w:hAnsiTheme="minorHAnsi" w:cstheme="minorBidi"/>
          <w:noProof/>
          <w:szCs w:val="22"/>
          <w:lang w:eastAsia="sv-SE"/>
        </w:rPr>
      </w:pPr>
      <w:hyperlink w:anchor="_Toc58848005" w:history="1">
        <w:r w:rsidR="001E569E" w:rsidRPr="00583B68">
          <w:rPr>
            <w:rStyle w:val="Hyperlnk"/>
            <w:noProof/>
          </w:rPr>
          <w:t>2.2.2</w:t>
        </w:r>
        <w:r w:rsidR="001E569E">
          <w:rPr>
            <w:rFonts w:asciiTheme="minorHAnsi" w:eastAsiaTheme="minorEastAsia" w:hAnsiTheme="minorHAnsi" w:cstheme="minorBidi"/>
            <w:noProof/>
            <w:szCs w:val="22"/>
            <w:lang w:eastAsia="sv-SE"/>
          </w:rPr>
          <w:tab/>
        </w:r>
        <w:r w:rsidR="001E569E" w:rsidRPr="00583B68">
          <w:rPr>
            <w:rStyle w:val="Hyperlnk"/>
            <w:noProof/>
          </w:rPr>
          <w:t>Uppdelning på utbildning och forskning</w:t>
        </w:r>
        <w:r w:rsidR="001E569E">
          <w:rPr>
            <w:noProof/>
            <w:webHidden/>
          </w:rPr>
          <w:tab/>
        </w:r>
        <w:r w:rsidR="001E569E">
          <w:rPr>
            <w:noProof/>
            <w:webHidden/>
          </w:rPr>
          <w:fldChar w:fldCharType="begin"/>
        </w:r>
        <w:r w:rsidR="001E569E">
          <w:rPr>
            <w:noProof/>
            <w:webHidden/>
          </w:rPr>
          <w:instrText xml:space="preserve"> PAGEREF _Toc58848005 \h </w:instrText>
        </w:r>
        <w:r w:rsidR="001E569E">
          <w:rPr>
            <w:noProof/>
            <w:webHidden/>
          </w:rPr>
        </w:r>
        <w:r w:rsidR="001E569E">
          <w:rPr>
            <w:noProof/>
            <w:webHidden/>
          </w:rPr>
          <w:fldChar w:fldCharType="separate"/>
        </w:r>
        <w:r w:rsidR="001E569E">
          <w:rPr>
            <w:noProof/>
            <w:webHidden/>
          </w:rPr>
          <w:t>6</w:t>
        </w:r>
        <w:r w:rsidR="001E569E">
          <w:rPr>
            <w:noProof/>
            <w:webHidden/>
          </w:rPr>
          <w:fldChar w:fldCharType="end"/>
        </w:r>
      </w:hyperlink>
    </w:p>
    <w:p w14:paraId="7837B579" w14:textId="77777777" w:rsidR="001E569E" w:rsidRDefault="003E6675">
      <w:pPr>
        <w:pStyle w:val="Innehll3"/>
        <w:tabs>
          <w:tab w:val="left" w:pos="1320"/>
          <w:tab w:val="right" w:leader="dot" w:pos="9062"/>
        </w:tabs>
        <w:rPr>
          <w:rFonts w:asciiTheme="minorHAnsi" w:eastAsiaTheme="minorEastAsia" w:hAnsiTheme="minorHAnsi" w:cstheme="minorBidi"/>
          <w:noProof/>
          <w:szCs w:val="22"/>
          <w:lang w:eastAsia="sv-SE"/>
        </w:rPr>
      </w:pPr>
      <w:hyperlink w:anchor="_Toc58848006" w:history="1">
        <w:r w:rsidR="001E569E" w:rsidRPr="00583B68">
          <w:rPr>
            <w:rStyle w:val="Hyperlnk"/>
            <w:noProof/>
          </w:rPr>
          <w:t>2.2.3</w:t>
        </w:r>
        <w:r w:rsidR="001E569E">
          <w:rPr>
            <w:rFonts w:asciiTheme="minorHAnsi" w:eastAsiaTheme="minorEastAsia" w:hAnsiTheme="minorHAnsi" w:cstheme="minorBidi"/>
            <w:noProof/>
            <w:szCs w:val="22"/>
            <w:lang w:eastAsia="sv-SE"/>
          </w:rPr>
          <w:tab/>
        </w:r>
        <w:r w:rsidR="001E569E" w:rsidRPr="00583B68">
          <w:rPr>
            <w:rStyle w:val="Hyperlnk"/>
            <w:noProof/>
          </w:rPr>
          <w:t>Institutionsspecifika påslag ersatta med fakultetsspecifika påslag</w:t>
        </w:r>
        <w:r w:rsidR="001E569E">
          <w:rPr>
            <w:noProof/>
            <w:webHidden/>
          </w:rPr>
          <w:tab/>
        </w:r>
        <w:r w:rsidR="001E569E">
          <w:rPr>
            <w:noProof/>
            <w:webHidden/>
          </w:rPr>
          <w:fldChar w:fldCharType="begin"/>
        </w:r>
        <w:r w:rsidR="001E569E">
          <w:rPr>
            <w:noProof/>
            <w:webHidden/>
          </w:rPr>
          <w:instrText xml:space="preserve"> PAGEREF _Toc58848006 \h </w:instrText>
        </w:r>
        <w:r w:rsidR="001E569E">
          <w:rPr>
            <w:noProof/>
            <w:webHidden/>
          </w:rPr>
        </w:r>
        <w:r w:rsidR="001E569E">
          <w:rPr>
            <w:noProof/>
            <w:webHidden/>
          </w:rPr>
          <w:fldChar w:fldCharType="separate"/>
        </w:r>
        <w:r w:rsidR="001E569E">
          <w:rPr>
            <w:noProof/>
            <w:webHidden/>
          </w:rPr>
          <w:t>6</w:t>
        </w:r>
        <w:r w:rsidR="001E569E">
          <w:rPr>
            <w:noProof/>
            <w:webHidden/>
          </w:rPr>
          <w:fldChar w:fldCharType="end"/>
        </w:r>
      </w:hyperlink>
    </w:p>
    <w:p w14:paraId="0C39D47A" w14:textId="77777777" w:rsidR="001E569E" w:rsidRDefault="003E6675">
      <w:pPr>
        <w:pStyle w:val="Innehll3"/>
        <w:tabs>
          <w:tab w:val="left" w:pos="1320"/>
          <w:tab w:val="right" w:leader="dot" w:pos="9062"/>
        </w:tabs>
        <w:rPr>
          <w:rFonts w:asciiTheme="minorHAnsi" w:eastAsiaTheme="minorEastAsia" w:hAnsiTheme="minorHAnsi" w:cstheme="minorBidi"/>
          <w:noProof/>
          <w:szCs w:val="22"/>
          <w:lang w:eastAsia="sv-SE"/>
        </w:rPr>
      </w:pPr>
      <w:hyperlink w:anchor="_Toc58848007" w:history="1">
        <w:r w:rsidR="001E569E" w:rsidRPr="00583B68">
          <w:rPr>
            <w:rStyle w:val="Hyperlnk"/>
            <w:noProof/>
          </w:rPr>
          <w:t>2.2.4</w:t>
        </w:r>
        <w:r w:rsidR="001E569E">
          <w:rPr>
            <w:rFonts w:asciiTheme="minorHAnsi" w:eastAsiaTheme="minorEastAsia" w:hAnsiTheme="minorHAnsi" w:cstheme="minorBidi"/>
            <w:noProof/>
            <w:szCs w:val="22"/>
            <w:lang w:eastAsia="sv-SE"/>
          </w:rPr>
          <w:tab/>
        </w:r>
        <w:r w:rsidR="001E569E" w:rsidRPr="00583B68">
          <w:rPr>
            <w:rStyle w:val="Hyperlnk"/>
            <w:noProof/>
          </w:rPr>
          <w:t>Full kostnadstäckning på några års sikt från och med 2017</w:t>
        </w:r>
        <w:r w:rsidR="001E569E">
          <w:rPr>
            <w:noProof/>
            <w:webHidden/>
          </w:rPr>
          <w:tab/>
        </w:r>
        <w:r w:rsidR="001E569E">
          <w:rPr>
            <w:noProof/>
            <w:webHidden/>
          </w:rPr>
          <w:fldChar w:fldCharType="begin"/>
        </w:r>
        <w:r w:rsidR="001E569E">
          <w:rPr>
            <w:noProof/>
            <w:webHidden/>
          </w:rPr>
          <w:instrText xml:space="preserve"> PAGEREF _Toc58848007 \h </w:instrText>
        </w:r>
        <w:r w:rsidR="001E569E">
          <w:rPr>
            <w:noProof/>
            <w:webHidden/>
          </w:rPr>
        </w:r>
        <w:r w:rsidR="001E569E">
          <w:rPr>
            <w:noProof/>
            <w:webHidden/>
          </w:rPr>
          <w:fldChar w:fldCharType="separate"/>
        </w:r>
        <w:r w:rsidR="001E569E">
          <w:rPr>
            <w:noProof/>
            <w:webHidden/>
          </w:rPr>
          <w:t>6</w:t>
        </w:r>
        <w:r w:rsidR="001E569E">
          <w:rPr>
            <w:noProof/>
            <w:webHidden/>
          </w:rPr>
          <w:fldChar w:fldCharType="end"/>
        </w:r>
      </w:hyperlink>
    </w:p>
    <w:p w14:paraId="219906FE" w14:textId="77777777" w:rsidR="001E569E" w:rsidRDefault="003E6675">
      <w:pPr>
        <w:pStyle w:val="Innehll3"/>
        <w:tabs>
          <w:tab w:val="left" w:pos="1320"/>
          <w:tab w:val="right" w:leader="dot" w:pos="9062"/>
        </w:tabs>
        <w:rPr>
          <w:rFonts w:asciiTheme="minorHAnsi" w:eastAsiaTheme="minorEastAsia" w:hAnsiTheme="minorHAnsi" w:cstheme="minorBidi"/>
          <w:noProof/>
          <w:szCs w:val="22"/>
          <w:lang w:eastAsia="sv-SE"/>
        </w:rPr>
      </w:pPr>
      <w:hyperlink w:anchor="_Toc58848008" w:history="1">
        <w:r w:rsidR="001E569E" w:rsidRPr="00583B68">
          <w:rPr>
            <w:rStyle w:val="Hyperlnk"/>
            <w:noProof/>
          </w:rPr>
          <w:t>2.2.5</w:t>
        </w:r>
        <w:r w:rsidR="001E569E">
          <w:rPr>
            <w:rFonts w:asciiTheme="minorHAnsi" w:eastAsiaTheme="minorEastAsia" w:hAnsiTheme="minorHAnsi" w:cstheme="minorBidi"/>
            <w:noProof/>
            <w:szCs w:val="22"/>
            <w:lang w:eastAsia="sv-SE"/>
          </w:rPr>
          <w:tab/>
        </w:r>
        <w:r w:rsidR="001E569E" w:rsidRPr="00583B68">
          <w:rPr>
            <w:rStyle w:val="Hyperlnk"/>
            <w:noProof/>
          </w:rPr>
          <w:t>Specifikation av stödverksamhetens kostnader i projektkalkyl</w:t>
        </w:r>
        <w:r w:rsidR="001E569E">
          <w:rPr>
            <w:noProof/>
            <w:webHidden/>
          </w:rPr>
          <w:tab/>
        </w:r>
        <w:r w:rsidR="001E569E">
          <w:rPr>
            <w:noProof/>
            <w:webHidden/>
          </w:rPr>
          <w:fldChar w:fldCharType="begin"/>
        </w:r>
        <w:r w:rsidR="001E569E">
          <w:rPr>
            <w:noProof/>
            <w:webHidden/>
          </w:rPr>
          <w:instrText xml:space="preserve"> PAGEREF _Toc58848008 \h </w:instrText>
        </w:r>
        <w:r w:rsidR="001E569E">
          <w:rPr>
            <w:noProof/>
            <w:webHidden/>
          </w:rPr>
        </w:r>
        <w:r w:rsidR="001E569E">
          <w:rPr>
            <w:noProof/>
            <w:webHidden/>
          </w:rPr>
          <w:fldChar w:fldCharType="separate"/>
        </w:r>
        <w:r w:rsidR="001E569E">
          <w:rPr>
            <w:noProof/>
            <w:webHidden/>
          </w:rPr>
          <w:t>7</w:t>
        </w:r>
        <w:r w:rsidR="001E569E">
          <w:rPr>
            <w:noProof/>
            <w:webHidden/>
          </w:rPr>
          <w:fldChar w:fldCharType="end"/>
        </w:r>
      </w:hyperlink>
    </w:p>
    <w:p w14:paraId="06ADFA5F" w14:textId="77777777" w:rsidR="001E569E" w:rsidRDefault="003E6675">
      <w:pPr>
        <w:pStyle w:val="Innehll1"/>
        <w:rPr>
          <w:rFonts w:asciiTheme="minorHAnsi" w:eastAsiaTheme="minorEastAsia" w:hAnsiTheme="minorHAnsi" w:cstheme="minorBidi"/>
          <w:b w:val="0"/>
          <w:sz w:val="22"/>
          <w:szCs w:val="22"/>
        </w:rPr>
      </w:pPr>
      <w:hyperlink w:anchor="_Toc58848009" w:history="1">
        <w:r w:rsidR="001E569E" w:rsidRPr="00583B68">
          <w:rPr>
            <w:rStyle w:val="Hyperlnk"/>
          </w:rPr>
          <w:t>3.  Översyn av kostnader</w:t>
        </w:r>
        <w:r w:rsidR="001E569E">
          <w:rPr>
            <w:webHidden/>
          </w:rPr>
          <w:tab/>
        </w:r>
        <w:r w:rsidR="001E569E">
          <w:rPr>
            <w:webHidden/>
          </w:rPr>
          <w:fldChar w:fldCharType="begin"/>
        </w:r>
        <w:r w:rsidR="001E569E">
          <w:rPr>
            <w:webHidden/>
          </w:rPr>
          <w:instrText xml:space="preserve"> PAGEREF _Toc58848009 \h </w:instrText>
        </w:r>
        <w:r w:rsidR="001E569E">
          <w:rPr>
            <w:webHidden/>
          </w:rPr>
        </w:r>
        <w:r w:rsidR="001E569E">
          <w:rPr>
            <w:webHidden/>
          </w:rPr>
          <w:fldChar w:fldCharType="separate"/>
        </w:r>
        <w:r w:rsidR="001E569E">
          <w:rPr>
            <w:webHidden/>
          </w:rPr>
          <w:t>7</w:t>
        </w:r>
        <w:r w:rsidR="001E569E">
          <w:rPr>
            <w:webHidden/>
          </w:rPr>
          <w:fldChar w:fldCharType="end"/>
        </w:r>
      </w:hyperlink>
    </w:p>
    <w:p w14:paraId="5B6AB58C" w14:textId="77777777" w:rsidR="001E569E" w:rsidRDefault="003E6675">
      <w:pPr>
        <w:pStyle w:val="Innehll2"/>
        <w:tabs>
          <w:tab w:val="left" w:pos="880"/>
          <w:tab w:val="right" w:leader="dot" w:pos="9062"/>
        </w:tabs>
        <w:rPr>
          <w:rFonts w:asciiTheme="minorHAnsi" w:eastAsiaTheme="minorEastAsia" w:hAnsiTheme="minorHAnsi" w:cstheme="minorBidi"/>
          <w:noProof/>
          <w:sz w:val="22"/>
          <w:szCs w:val="22"/>
        </w:rPr>
      </w:pPr>
      <w:hyperlink w:anchor="_Toc58848010" w:history="1">
        <w:r w:rsidR="001E569E" w:rsidRPr="00583B68">
          <w:rPr>
            <w:rStyle w:val="Hyperlnk"/>
            <w:noProof/>
          </w:rPr>
          <w:t>3.1</w:t>
        </w:r>
        <w:r w:rsidR="001E569E">
          <w:rPr>
            <w:rFonts w:asciiTheme="minorHAnsi" w:eastAsiaTheme="minorEastAsia" w:hAnsiTheme="minorHAnsi" w:cstheme="minorBidi"/>
            <w:noProof/>
            <w:sz w:val="22"/>
            <w:szCs w:val="22"/>
          </w:rPr>
          <w:tab/>
        </w:r>
        <w:r w:rsidR="001E569E" w:rsidRPr="00583B68">
          <w:rPr>
            <w:rStyle w:val="Hyperlnk"/>
            <w:noProof/>
          </w:rPr>
          <w:t>Fortsatt anpassning av modellen</w:t>
        </w:r>
        <w:r w:rsidR="001E569E">
          <w:rPr>
            <w:noProof/>
            <w:webHidden/>
          </w:rPr>
          <w:tab/>
        </w:r>
        <w:r w:rsidR="001E569E">
          <w:rPr>
            <w:noProof/>
            <w:webHidden/>
          </w:rPr>
          <w:fldChar w:fldCharType="begin"/>
        </w:r>
        <w:r w:rsidR="001E569E">
          <w:rPr>
            <w:noProof/>
            <w:webHidden/>
          </w:rPr>
          <w:instrText xml:space="preserve"> PAGEREF _Toc58848010 \h </w:instrText>
        </w:r>
        <w:r w:rsidR="001E569E">
          <w:rPr>
            <w:noProof/>
            <w:webHidden/>
          </w:rPr>
        </w:r>
        <w:r w:rsidR="001E569E">
          <w:rPr>
            <w:noProof/>
            <w:webHidden/>
          </w:rPr>
          <w:fldChar w:fldCharType="separate"/>
        </w:r>
        <w:r w:rsidR="001E569E">
          <w:rPr>
            <w:noProof/>
            <w:webHidden/>
          </w:rPr>
          <w:t>7</w:t>
        </w:r>
        <w:r w:rsidR="001E569E">
          <w:rPr>
            <w:noProof/>
            <w:webHidden/>
          </w:rPr>
          <w:fldChar w:fldCharType="end"/>
        </w:r>
      </w:hyperlink>
    </w:p>
    <w:p w14:paraId="27C3AE0D" w14:textId="77777777" w:rsidR="001E569E" w:rsidRDefault="003E6675">
      <w:pPr>
        <w:pStyle w:val="Innehll1"/>
        <w:rPr>
          <w:rFonts w:asciiTheme="minorHAnsi" w:eastAsiaTheme="minorEastAsia" w:hAnsiTheme="minorHAnsi" w:cstheme="minorBidi"/>
          <w:b w:val="0"/>
          <w:sz w:val="22"/>
          <w:szCs w:val="22"/>
        </w:rPr>
      </w:pPr>
      <w:hyperlink w:anchor="_Toc58848011" w:history="1">
        <w:r w:rsidR="001E569E" w:rsidRPr="00583B68">
          <w:rPr>
            <w:rStyle w:val="Hyperlnk"/>
          </w:rPr>
          <w:t>4. Procentsatser per fakultet från och med 2013</w:t>
        </w:r>
        <w:r w:rsidR="001E569E">
          <w:rPr>
            <w:webHidden/>
          </w:rPr>
          <w:tab/>
        </w:r>
        <w:r w:rsidR="001E569E">
          <w:rPr>
            <w:webHidden/>
          </w:rPr>
          <w:fldChar w:fldCharType="begin"/>
        </w:r>
        <w:r w:rsidR="001E569E">
          <w:rPr>
            <w:webHidden/>
          </w:rPr>
          <w:instrText xml:space="preserve"> PAGEREF _Toc58848011 \h </w:instrText>
        </w:r>
        <w:r w:rsidR="001E569E">
          <w:rPr>
            <w:webHidden/>
          </w:rPr>
        </w:r>
        <w:r w:rsidR="001E569E">
          <w:rPr>
            <w:webHidden/>
          </w:rPr>
          <w:fldChar w:fldCharType="separate"/>
        </w:r>
        <w:r w:rsidR="001E569E">
          <w:rPr>
            <w:webHidden/>
          </w:rPr>
          <w:t>8</w:t>
        </w:r>
        <w:r w:rsidR="001E569E">
          <w:rPr>
            <w:webHidden/>
          </w:rPr>
          <w:fldChar w:fldCharType="end"/>
        </w:r>
      </w:hyperlink>
    </w:p>
    <w:p w14:paraId="18F8FBAC" w14:textId="77777777" w:rsidR="001E569E" w:rsidRDefault="003E6675">
      <w:pPr>
        <w:pStyle w:val="Innehll1"/>
        <w:rPr>
          <w:rFonts w:asciiTheme="minorHAnsi" w:eastAsiaTheme="minorEastAsia" w:hAnsiTheme="minorHAnsi" w:cstheme="minorBidi"/>
          <w:b w:val="0"/>
          <w:sz w:val="22"/>
          <w:szCs w:val="22"/>
        </w:rPr>
      </w:pPr>
      <w:hyperlink w:anchor="_Toc58848012" w:history="1">
        <w:r w:rsidR="001E569E" w:rsidRPr="00583B68">
          <w:rPr>
            <w:rStyle w:val="Hyperlnk"/>
          </w:rPr>
          <w:t>5. Direktdebitering av administration i kärnverksamhet</w:t>
        </w:r>
        <w:r w:rsidR="001E569E">
          <w:rPr>
            <w:webHidden/>
          </w:rPr>
          <w:tab/>
        </w:r>
        <w:r w:rsidR="001E569E">
          <w:rPr>
            <w:webHidden/>
          </w:rPr>
          <w:fldChar w:fldCharType="begin"/>
        </w:r>
        <w:r w:rsidR="001E569E">
          <w:rPr>
            <w:webHidden/>
          </w:rPr>
          <w:instrText xml:space="preserve"> PAGEREF _Toc58848012 \h </w:instrText>
        </w:r>
        <w:r w:rsidR="001E569E">
          <w:rPr>
            <w:webHidden/>
          </w:rPr>
        </w:r>
        <w:r w:rsidR="001E569E">
          <w:rPr>
            <w:webHidden/>
          </w:rPr>
          <w:fldChar w:fldCharType="separate"/>
        </w:r>
        <w:r w:rsidR="001E569E">
          <w:rPr>
            <w:webHidden/>
          </w:rPr>
          <w:t>8</w:t>
        </w:r>
        <w:r w:rsidR="001E569E">
          <w:rPr>
            <w:webHidden/>
          </w:rPr>
          <w:fldChar w:fldCharType="end"/>
        </w:r>
      </w:hyperlink>
    </w:p>
    <w:p w14:paraId="22DBABE2" w14:textId="77777777" w:rsidR="001E569E" w:rsidRDefault="003E6675">
      <w:pPr>
        <w:pStyle w:val="Innehll1"/>
        <w:rPr>
          <w:rFonts w:asciiTheme="minorHAnsi" w:eastAsiaTheme="minorEastAsia" w:hAnsiTheme="minorHAnsi" w:cstheme="minorBidi"/>
          <w:b w:val="0"/>
          <w:sz w:val="22"/>
          <w:szCs w:val="22"/>
        </w:rPr>
      </w:pPr>
      <w:hyperlink w:anchor="_Toc58848013" w:history="1">
        <w:r w:rsidR="001E569E" w:rsidRPr="00583B68">
          <w:rPr>
            <w:rStyle w:val="Hyperlnk"/>
          </w:rPr>
          <w:t>6. Modell för intern årskostnad lokaler</w:t>
        </w:r>
        <w:r w:rsidR="001E569E">
          <w:rPr>
            <w:webHidden/>
          </w:rPr>
          <w:tab/>
        </w:r>
        <w:r w:rsidR="001E569E">
          <w:rPr>
            <w:webHidden/>
          </w:rPr>
          <w:fldChar w:fldCharType="begin"/>
        </w:r>
        <w:r w:rsidR="001E569E">
          <w:rPr>
            <w:webHidden/>
          </w:rPr>
          <w:instrText xml:space="preserve"> PAGEREF _Toc58848013 \h </w:instrText>
        </w:r>
        <w:r w:rsidR="001E569E">
          <w:rPr>
            <w:webHidden/>
          </w:rPr>
        </w:r>
        <w:r w:rsidR="001E569E">
          <w:rPr>
            <w:webHidden/>
          </w:rPr>
          <w:fldChar w:fldCharType="separate"/>
        </w:r>
        <w:r w:rsidR="001E569E">
          <w:rPr>
            <w:webHidden/>
          </w:rPr>
          <w:t>8</w:t>
        </w:r>
        <w:r w:rsidR="001E569E">
          <w:rPr>
            <w:webHidden/>
          </w:rPr>
          <w:fldChar w:fldCharType="end"/>
        </w:r>
      </w:hyperlink>
    </w:p>
    <w:p w14:paraId="605DD1FE" w14:textId="77777777" w:rsidR="001E569E" w:rsidRDefault="003E6675">
      <w:pPr>
        <w:pStyle w:val="Innehll2"/>
        <w:tabs>
          <w:tab w:val="right" w:leader="dot" w:pos="9062"/>
        </w:tabs>
        <w:rPr>
          <w:rFonts w:asciiTheme="minorHAnsi" w:eastAsiaTheme="minorEastAsia" w:hAnsiTheme="minorHAnsi" w:cstheme="minorBidi"/>
          <w:noProof/>
          <w:sz w:val="22"/>
          <w:szCs w:val="22"/>
        </w:rPr>
      </w:pPr>
      <w:hyperlink w:anchor="_Toc58848014" w:history="1">
        <w:r w:rsidR="001E569E" w:rsidRPr="00583B68">
          <w:rPr>
            <w:rStyle w:val="Hyperlnk"/>
            <w:noProof/>
          </w:rPr>
          <w:t>6.1 Fördelningsmodell lokaler</w:t>
        </w:r>
        <w:r w:rsidR="001E569E">
          <w:rPr>
            <w:noProof/>
            <w:webHidden/>
          </w:rPr>
          <w:tab/>
        </w:r>
        <w:r w:rsidR="001E569E">
          <w:rPr>
            <w:noProof/>
            <w:webHidden/>
          </w:rPr>
          <w:fldChar w:fldCharType="begin"/>
        </w:r>
        <w:r w:rsidR="001E569E">
          <w:rPr>
            <w:noProof/>
            <w:webHidden/>
          </w:rPr>
          <w:instrText xml:space="preserve"> PAGEREF _Toc58848014 \h </w:instrText>
        </w:r>
        <w:r w:rsidR="001E569E">
          <w:rPr>
            <w:noProof/>
            <w:webHidden/>
          </w:rPr>
        </w:r>
        <w:r w:rsidR="001E569E">
          <w:rPr>
            <w:noProof/>
            <w:webHidden/>
          </w:rPr>
          <w:fldChar w:fldCharType="separate"/>
        </w:r>
        <w:r w:rsidR="001E569E">
          <w:rPr>
            <w:noProof/>
            <w:webHidden/>
          </w:rPr>
          <w:t>9</w:t>
        </w:r>
        <w:r w:rsidR="001E569E">
          <w:rPr>
            <w:noProof/>
            <w:webHidden/>
          </w:rPr>
          <w:fldChar w:fldCharType="end"/>
        </w:r>
      </w:hyperlink>
    </w:p>
    <w:p w14:paraId="0A4DF5C3" w14:textId="77777777" w:rsidR="001E569E" w:rsidRDefault="003E6675">
      <w:pPr>
        <w:pStyle w:val="Innehll3"/>
        <w:tabs>
          <w:tab w:val="left" w:pos="1320"/>
          <w:tab w:val="right" w:leader="dot" w:pos="9062"/>
        </w:tabs>
        <w:rPr>
          <w:rFonts w:asciiTheme="minorHAnsi" w:eastAsiaTheme="minorEastAsia" w:hAnsiTheme="minorHAnsi" w:cstheme="minorBidi"/>
          <w:noProof/>
          <w:szCs w:val="22"/>
          <w:lang w:eastAsia="sv-SE"/>
        </w:rPr>
      </w:pPr>
      <w:hyperlink w:anchor="_Toc58848015" w:history="1">
        <w:r w:rsidR="001E569E" w:rsidRPr="00583B68">
          <w:rPr>
            <w:rStyle w:val="Hyperlnk"/>
            <w:noProof/>
          </w:rPr>
          <w:t>6.1.1</w:t>
        </w:r>
        <w:r w:rsidR="001E569E">
          <w:rPr>
            <w:rFonts w:asciiTheme="minorHAnsi" w:eastAsiaTheme="minorEastAsia" w:hAnsiTheme="minorHAnsi" w:cstheme="minorBidi"/>
            <w:noProof/>
            <w:szCs w:val="22"/>
            <w:lang w:eastAsia="sv-SE"/>
          </w:rPr>
          <w:tab/>
        </w:r>
        <w:r w:rsidR="001E569E" w:rsidRPr="00583B68">
          <w:rPr>
            <w:rStyle w:val="Hyperlnk"/>
            <w:noProof/>
          </w:rPr>
          <w:t>Fördelningsmodell kontorskostnad</w:t>
        </w:r>
        <w:r w:rsidR="001E569E">
          <w:rPr>
            <w:noProof/>
            <w:webHidden/>
          </w:rPr>
          <w:tab/>
        </w:r>
        <w:r w:rsidR="001E569E">
          <w:rPr>
            <w:noProof/>
            <w:webHidden/>
          </w:rPr>
          <w:fldChar w:fldCharType="begin"/>
        </w:r>
        <w:r w:rsidR="001E569E">
          <w:rPr>
            <w:noProof/>
            <w:webHidden/>
          </w:rPr>
          <w:instrText xml:space="preserve"> PAGEREF _Toc58848015 \h </w:instrText>
        </w:r>
        <w:r w:rsidR="001E569E">
          <w:rPr>
            <w:noProof/>
            <w:webHidden/>
          </w:rPr>
        </w:r>
        <w:r w:rsidR="001E569E">
          <w:rPr>
            <w:noProof/>
            <w:webHidden/>
          </w:rPr>
          <w:fldChar w:fldCharType="separate"/>
        </w:r>
        <w:r w:rsidR="001E569E">
          <w:rPr>
            <w:noProof/>
            <w:webHidden/>
          </w:rPr>
          <w:t>9</w:t>
        </w:r>
        <w:r w:rsidR="001E569E">
          <w:rPr>
            <w:noProof/>
            <w:webHidden/>
          </w:rPr>
          <w:fldChar w:fldCharType="end"/>
        </w:r>
      </w:hyperlink>
    </w:p>
    <w:p w14:paraId="6BD9F04F" w14:textId="77777777" w:rsidR="001E569E" w:rsidRDefault="003E6675">
      <w:pPr>
        <w:pStyle w:val="Innehll3"/>
        <w:tabs>
          <w:tab w:val="left" w:pos="1320"/>
          <w:tab w:val="right" w:leader="dot" w:pos="9062"/>
        </w:tabs>
        <w:rPr>
          <w:rFonts w:asciiTheme="minorHAnsi" w:eastAsiaTheme="minorEastAsia" w:hAnsiTheme="minorHAnsi" w:cstheme="minorBidi"/>
          <w:noProof/>
          <w:szCs w:val="22"/>
          <w:lang w:eastAsia="sv-SE"/>
        </w:rPr>
      </w:pPr>
      <w:hyperlink w:anchor="_Toc58848016" w:history="1">
        <w:r w:rsidR="001E569E" w:rsidRPr="00583B68">
          <w:rPr>
            <w:rStyle w:val="Hyperlnk"/>
            <w:noProof/>
          </w:rPr>
          <w:t>6.1.2</w:t>
        </w:r>
        <w:r w:rsidR="001E569E">
          <w:rPr>
            <w:rFonts w:asciiTheme="minorHAnsi" w:eastAsiaTheme="minorEastAsia" w:hAnsiTheme="minorHAnsi" w:cstheme="minorBidi"/>
            <w:noProof/>
            <w:szCs w:val="22"/>
            <w:lang w:eastAsia="sv-SE"/>
          </w:rPr>
          <w:tab/>
        </w:r>
        <w:r w:rsidR="001E569E" w:rsidRPr="00583B68">
          <w:rPr>
            <w:rStyle w:val="Hyperlnk"/>
            <w:noProof/>
          </w:rPr>
          <w:t>Fördelningsmodell övriga lokalkostnader</w:t>
        </w:r>
        <w:r w:rsidR="001E569E">
          <w:rPr>
            <w:noProof/>
            <w:webHidden/>
          </w:rPr>
          <w:tab/>
        </w:r>
        <w:r w:rsidR="001E569E">
          <w:rPr>
            <w:noProof/>
            <w:webHidden/>
          </w:rPr>
          <w:fldChar w:fldCharType="begin"/>
        </w:r>
        <w:r w:rsidR="001E569E">
          <w:rPr>
            <w:noProof/>
            <w:webHidden/>
          </w:rPr>
          <w:instrText xml:space="preserve"> PAGEREF _Toc58848016 \h </w:instrText>
        </w:r>
        <w:r w:rsidR="001E569E">
          <w:rPr>
            <w:noProof/>
            <w:webHidden/>
          </w:rPr>
        </w:r>
        <w:r w:rsidR="001E569E">
          <w:rPr>
            <w:noProof/>
            <w:webHidden/>
          </w:rPr>
          <w:fldChar w:fldCharType="separate"/>
        </w:r>
        <w:r w:rsidR="001E569E">
          <w:rPr>
            <w:noProof/>
            <w:webHidden/>
          </w:rPr>
          <w:t>9</w:t>
        </w:r>
        <w:r w:rsidR="001E569E">
          <w:rPr>
            <w:noProof/>
            <w:webHidden/>
          </w:rPr>
          <w:fldChar w:fldCharType="end"/>
        </w:r>
      </w:hyperlink>
    </w:p>
    <w:p w14:paraId="22E508ED" w14:textId="77777777" w:rsidR="00680BBA" w:rsidRDefault="00680BBA" w:rsidP="00680BBA">
      <w:pPr>
        <w:pStyle w:val="Rubrik1"/>
        <w:tabs>
          <w:tab w:val="left" w:pos="540"/>
        </w:tabs>
        <w:rPr>
          <w:rFonts w:ascii="Times New Roman" w:hAnsi="Times New Roman" w:cs="Times New Roman"/>
        </w:rPr>
      </w:pPr>
      <w:r w:rsidRPr="00680BBA">
        <w:rPr>
          <w:rFonts w:ascii="Times New Roman" w:hAnsi="Times New Roman" w:cs="Times New Roman"/>
          <w:b w:val="0"/>
          <w:sz w:val="36"/>
          <w:szCs w:val="36"/>
        </w:rPr>
        <w:fldChar w:fldCharType="end"/>
      </w:r>
    </w:p>
    <w:p w14:paraId="47943A3F" w14:textId="77777777" w:rsidR="00680BBA" w:rsidRDefault="00680BBA" w:rsidP="00680BBA">
      <w:pPr>
        <w:pStyle w:val="Rubrik1"/>
        <w:tabs>
          <w:tab w:val="left" w:pos="540"/>
        </w:tabs>
        <w:rPr>
          <w:rFonts w:ascii="Times New Roman" w:hAnsi="Times New Roman" w:cs="Times New Roman"/>
        </w:rPr>
      </w:pPr>
    </w:p>
    <w:p w14:paraId="1C8B6E09" w14:textId="77777777" w:rsidR="00680BBA" w:rsidRDefault="00680BBA" w:rsidP="00680BBA">
      <w:pPr>
        <w:rPr>
          <w:lang w:eastAsia="sv-SE"/>
        </w:rPr>
      </w:pPr>
    </w:p>
    <w:p w14:paraId="2C091F5F" w14:textId="77777777" w:rsidR="00680BBA" w:rsidRDefault="00680BBA" w:rsidP="00680BBA">
      <w:pPr>
        <w:rPr>
          <w:lang w:eastAsia="sv-SE"/>
        </w:rPr>
      </w:pPr>
    </w:p>
    <w:p w14:paraId="750539A7" w14:textId="77777777" w:rsidR="00680BBA" w:rsidRDefault="00680BBA" w:rsidP="00680BBA">
      <w:pPr>
        <w:rPr>
          <w:lang w:eastAsia="sv-SE"/>
        </w:rPr>
      </w:pPr>
    </w:p>
    <w:p w14:paraId="6481BA12" w14:textId="77777777" w:rsidR="00680BBA" w:rsidRDefault="00680BBA" w:rsidP="00680BBA">
      <w:pPr>
        <w:rPr>
          <w:lang w:eastAsia="sv-SE"/>
        </w:rPr>
      </w:pPr>
    </w:p>
    <w:p w14:paraId="5FCC2EDC" w14:textId="77777777" w:rsidR="0002705F" w:rsidRDefault="0002705F" w:rsidP="00680BBA">
      <w:pPr>
        <w:rPr>
          <w:lang w:eastAsia="sv-SE"/>
        </w:rPr>
      </w:pPr>
    </w:p>
    <w:p w14:paraId="372EA476" w14:textId="77777777" w:rsidR="0002705F" w:rsidRDefault="0002705F" w:rsidP="00680BBA">
      <w:pPr>
        <w:rPr>
          <w:lang w:eastAsia="sv-SE"/>
        </w:rPr>
      </w:pPr>
    </w:p>
    <w:p w14:paraId="136803FC" w14:textId="77777777" w:rsidR="0002705F" w:rsidRDefault="0002705F" w:rsidP="00680BBA">
      <w:pPr>
        <w:rPr>
          <w:lang w:eastAsia="sv-SE"/>
        </w:rPr>
      </w:pPr>
    </w:p>
    <w:p w14:paraId="186D881B" w14:textId="77777777" w:rsidR="0002705F" w:rsidRDefault="0002705F" w:rsidP="00680BBA">
      <w:pPr>
        <w:rPr>
          <w:lang w:eastAsia="sv-SE"/>
        </w:rPr>
      </w:pPr>
    </w:p>
    <w:p w14:paraId="3D0B3812" w14:textId="77777777" w:rsidR="00680BBA" w:rsidRPr="00C5190B" w:rsidRDefault="00680BBA" w:rsidP="00680BBA">
      <w:pPr>
        <w:pStyle w:val="Rubrik1"/>
        <w:tabs>
          <w:tab w:val="left" w:pos="540"/>
        </w:tabs>
        <w:rPr>
          <w:rFonts w:ascii="Times New Roman" w:hAnsi="Times New Roman" w:cs="Times New Roman"/>
        </w:rPr>
      </w:pPr>
      <w:bookmarkStart w:id="0" w:name="_Toc58848000"/>
      <w:r w:rsidRPr="00C5190B">
        <w:rPr>
          <w:rFonts w:ascii="Times New Roman" w:hAnsi="Times New Roman" w:cs="Times New Roman"/>
        </w:rPr>
        <w:lastRenderedPageBreak/>
        <w:t>1</w:t>
      </w:r>
      <w:r w:rsidRPr="00C5190B">
        <w:rPr>
          <w:rFonts w:ascii="Times New Roman" w:hAnsi="Times New Roman" w:cs="Times New Roman"/>
        </w:rPr>
        <w:tab/>
      </w:r>
      <w:r>
        <w:rPr>
          <w:rFonts w:ascii="Times New Roman" w:hAnsi="Times New Roman" w:cs="Times New Roman"/>
        </w:rPr>
        <w:t>Inledning</w:t>
      </w:r>
      <w:r w:rsidR="00DD7EF7">
        <w:rPr>
          <w:rFonts w:ascii="Times New Roman" w:hAnsi="Times New Roman" w:cs="Times New Roman"/>
        </w:rPr>
        <w:t xml:space="preserve"> och sammanfattning</w:t>
      </w:r>
      <w:r w:rsidR="00B716F8">
        <w:rPr>
          <w:rFonts w:ascii="Times New Roman" w:hAnsi="Times New Roman" w:cs="Times New Roman"/>
        </w:rPr>
        <w:t xml:space="preserve"> av modellen</w:t>
      </w:r>
      <w:bookmarkEnd w:id="0"/>
    </w:p>
    <w:p w14:paraId="7272D038" w14:textId="77777777" w:rsidR="006B669A" w:rsidRPr="00A84D90" w:rsidRDefault="00680BBA" w:rsidP="00544995">
      <w:pPr>
        <w:jc w:val="both"/>
        <w:rPr>
          <w:rFonts w:ascii="Times New Roman" w:hAnsi="Times New Roman"/>
        </w:rPr>
      </w:pPr>
      <w:r w:rsidRPr="00680BBA">
        <w:rPr>
          <w:rFonts w:ascii="Times New Roman" w:hAnsi="Times New Roman"/>
        </w:rPr>
        <w:t xml:space="preserve">Sveriges universitets- och högskoleförbund, SUHF </w:t>
      </w:r>
      <w:r w:rsidR="008E0093">
        <w:rPr>
          <w:rFonts w:ascii="Times New Roman" w:hAnsi="Times New Roman"/>
        </w:rPr>
        <w:t>arbetade</w:t>
      </w:r>
      <w:r w:rsidRPr="00680BBA">
        <w:rPr>
          <w:rFonts w:ascii="Times New Roman" w:hAnsi="Times New Roman"/>
        </w:rPr>
        <w:t xml:space="preserve"> 2007 fram en redovisningsmodell för direkta och indirekta kostnader</w:t>
      </w:r>
      <w:r w:rsidR="003B3078">
        <w:rPr>
          <w:rFonts w:ascii="Times New Roman" w:hAnsi="Times New Roman"/>
        </w:rPr>
        <w:t xml:space="preserve"> </w:t>
      </w:r>
      <w:r w:rsidR="00614AEC">
        <w:rPr>
          <w:rFonts w:ascii="Times New Roman" w:hAnsi="Times New Roman"/>
        </w:rPr>
        <w:t xml:space="preserve">även </w:t>
      </w:r>
      <w:r w:rsidR="003B3078">
        <w:rPr>
          <w:rFonts w:ascii="Times New Roman" w:hAnsi="Times New Roman"/>
        </w:rPr>
        <w:t xml:space="preserve">allmänt kallad </w:t>
      </w:r>
      <w:r w:rsidR="00390988">
        <w:rPr>
          <w:rFonts w:ascii="Times New Roman" w:hAnsi="Times New Roman"/>
        </w:rPr>
        <w:t>”</w:t>
      </w:r>
      <w:r w:rsidR="003B3078">
        <w:rPr>
          <w:rFonts w:ascii="Times New Roman" w:hAnsi="Times New Roman"/>
        </w:rPr>
        <w:t>SU</w:t>
      </w:r>
      <w:r w:rsidR="00390988">
        <w:rPr>
          <w:rFonts w:ascii="Times New Roman" w:hAnsi="Times New Roman"/>
        </w:rPr>
        <w:t>HF</w:t>
      </w:r>
      <w:r w:rsidR="003B3078">
        <w:rPr>
          <w:rFonts w:ascii="Times New Roman" w:hAnsi="Times New Roman"/>
        </w:rPr>
        <w:t>-modellen</w:t>
      </w:r>
      <w:r w:rsidR="00390988">
        <w:rPr>
          <w:rFonts w:ascii="Times New Roman" w:hAnsi="Times New Roman"/>
        </w:rPr>
        <w:t>”</w:t>
      </w:r>
      <w:r w:rsidRPr="00680BBA">
        <w:rPr>
          <w:rFonts w:ascii="Times New Roman" w:hAnsi="Times New Roman"/>
        </w:rPr>
        <w:t xml:space="preserve">. Modellen syftar till att på ett enkelt, rättvisande och kostnadseffektivt sätt bidra till god intern styrning och kontroll samt stödjer högskolans behov av tillförlitliga beslutsunderlag för verksamhetsstyrning och kontroll. </w:t>
      </w:r>
      <w:r w:rsidRPr="00A84D90">
        <w:rPr>
          <w:rFonts w:ascii="Times New Roman" w:hAnsi="Times New Roman"/>
        </w:rPr>
        <w:t>Modellen bygger på</w:t>
      </w:r>
      <w:r w:rsidR="00A84D90" w:rsidRPr="00A84D90">
        <w:rPr>
          <w:rFonts w:ascii="Times New Roman" w:hAnsi="Times New Roman"/>
        </w:rPr>
        <w:t xml:space="preserve"> allmänt erkänd</w:t>
      </w:r>
      <w:r w:rsidR="006B669A" w:rsidRPr="00A84D90">
        <w:rPr>
          <w:rFonts w:ascii="Times New Roman" w:hAnsi="Times New Roman"/>
        </w:rPr>
        <w:t xml:space="preserve"> kalkylteori</w:t>
      </w:r>
      <w:r w:rsidR="00A84D90" w:rsidRPr="00A84D90">
        <w:rPr>
          <w:rFonts w:ascii="Times New Roman" w:hAnsi="Times New Roman"/>
        </w:rPr>
        <w:t xml:space="preserve"> och begrepp</w:t>
      </w:r>
      <w:r w:rsidR="006B669A" w:rsidRPr="00A84D90">
        <w:rPr>
          <w:rFonts w:ascii="Times New Roman" w:hAnsi="Times New Roman"/>
        </w:rPr>
        <w:t xml:space="preserve">. </w:t>
      </w:r>
    </w:p>
    <w:p w14:paraId="39AAF1B3" w14:textId="77777777" w:rsidR="003B3078" w:rsidRPr="003B3078" w:rsidRDefault="00680BBA" w:rsidP="003B3078">
      <w:pPr>
        <w:jc w:val="both"/>
        <w:rPr>
          <w:rFonts w:ascii="Times New Roman" w:hAnsi="Times New Roman"/>
        </w:rPr>
      </w:pPr>
      <w:r w:rsidRPr="00680BBA">
        <w:rPr>
          <w:rFonts w:ascii="Times New Roman" w:hAnsi="Times New Roman"/>
        </w:rPr>
        <w:t xml:space="preserve">SUHF tog i november 2007 beslut att rekommendera sina medlemmar att införa den nya redovisningsmodellen.  </w:t>
      </w:r>
      <w:r w:rsidR="00B133C0">
        <w:rPr>
          <w:rFonts w:ascii="Times New Roman" w:hAnsi="Times New Roman"/>
        </w:rPr>
        <w:t xml:space="preserve">Mittuniversitetet beslutade </w:t>
      </w:r>
      <w:r w:rsidRPr="00680BBA">
        <w:rPr>
          <w:rFonts w:ascii="Times New Roman" w:hAnsi="Times New Roman"/>
        </w:rPr>
        <w:t xml:space="preserve">2009-07-02, Dnr MIUN 2009/1145, </w:t>
      </w:r>
      <w:r w:rsidR="00B133C0">
        <w:rPr>
          <w:rFonts w:ascii="Times New Roman" w:hAnsi="Times New Roman"/>
        </w:rPr>
        <w:t>att införa</w:t>
      </w:r>
      <w:r w:rsidRPr="00680BBA">
        <w:rPr>
          <w:rFonts w:ascii="Times New Roman" w:hAnsi="Times New Roman"/>
        </w:rPr>
        <w:t xml:space="preserve"> </w:t>
      </w:r>
      <w:proofErr w:type="spellStart"/>
      <w:r w:rsidRPr="00680BBA">
        <w:rPr>
          <w:rFonts w:ascii="Times New Roman" w:hAnsi="Times New Roman"/>
        </w:rPr>
        <w:t>SUHF´s</w:t>
      </w:r>
      <w:proofErr w:type="spellEnd"/>
      <w:r w:rsidRPr="00680BBA">
        <w:rPr>
          <w:rFonts w:ascii="Times New Roman" w:hAnsi="Times New Roman"/>
        </w:rPr>
        <w:t xml:space="preserve"> redovisningsmodell </w:t>
      </w:r>
      <w:r w:rsidR="009318D1">
        <w:rPr>
          <w:rFonts w:ascii="Times New Roman" w:hAnsi="Times New Roman"/>
        </w:rPr>
        <w:t xml:space="preserve">från och med </w:t>
      </w:r>
      <w:r w:rsidR="00544995">
        <w:rPr>
          <w:rFonts w:ascii="Times New Roman" w:hAnsi="Times New Roman"/>
        </w:rPr>
        <w:t>2011</w:t>
      </w:r>
      <w:r w:rsidRPr="00680BBA">
        <w:rPr>
          <w:rFonts w:ascii="Times New Roman" w:hAnsi="Times New Roman"/>
        </w:rPr>
        <w:t xml:space="preserve">. </w:t>
      </w:r>
    </w:p>
    <w:p w14:paraId="6E073585" w14:textId="77777777" w:rsidR="006B11D2" w:rsidRPr="003B3078" w:rsidRDefault="003B3078" w:rsidP="00544995">
      <w:pPr>
        <w:jc w:val="both"/>
        <w:rPr>
          <w:rFonts w:ascii="Times New Roman" w:hAnsi="Times New Roman"/>
        </w:rPr>
      </w:pPr>
      <w:r w:rsidRPr="003B3078">
        <w:rPr>
          <w:rFonts w:ascii="Times New Roman" w:hAnsi="Times New Roman"/>
        </w:rPr>
        <w:t xml:space="preserve">Mellan åren 2002-2010 hade Mittuniversitetet en redovisningsmodell som i delar påminner om </w:t>
      </w:r>
      <w:proofErr w:type="spellStart"/>
      <w:r w:rsidRPr="003B3078">
        <w:rPr>
          <w:rFonts w:ascii="Times New Roman" w:hAnsi="Times New Roman"/>
        </w:rPr>
        <w:t>SUHF´s</w:t>
      </w:r>
      <w:proofErr w:type="spellEnd"/>
      <w:r w:rsidRPr="003B3078">
        <w:rPr>
          <w:rFonts w:ascii="Times New Roman" w:hAnsi="Times New Roman"/>
        </w:rPr>
        <w:t xml:space="preserve"> modell d v s att kostnader för gemensam stödverksamhet fördelas på all verksamhet via procentuella påslag på direkt lön. Införandet av </w:t>
      </w:r>
      <w:proofErr w:type="spellStart"/>
      <w:r w:rsidRPr="003B3078">
        <w:rPr>
          <w:rFonts w:ascii="Times New Roman" w:hAnsi="Times New Roman"/>
        </w:rPr>
        <w:t>SUHF´s</w:t>
      </w:r>
      <w:proofErr w:type="spellEnd"/>
      <w:r w:rsidRPr="003B3078">
        <w:rPr>
          <w:rFonts w:ascii="Times New Roman" w:hAnsi="Times New Roman"/>
        </w:rPr>
        <w:t xml:space="preserve"> modell innebar därmed i en vidareutveckling av befintlig modell. </w:t>
      </w:r>
    </w:p>
    <w:p w14:paraId="259D12D3" w14:textId="77777777" w:rsidR="00705E22" w:rsidRDefault="008E0093" w:rsidP="00544995">
      <w:pPr>
        <w:jc w:val="both"/>
        <w:rPr>
          <w:rFonts w:ascii="Times New Roman" w:hAnsi="Times New Roman"/>
        </w:rPr>
      </w:pPr>
      <w:proofErr w:type="spellStart"/>
      <w:r>
        <w:rPr>
          <w:rFonts w:ascii="Times New Roman" w:hAnsi="Times New Roman"/>
        </w:rPr>
        <w:t>SUHF´s</w:t>
      </w:r>
      <w:proofErr w:type="spellEnd"/>
      <w:r w:rsidR="00DD7EF7">
        <w:rPr>
          <w:rFonts w:ascii="Times New Roman" w:hAnsi="Times New Roman"/>
        </w:rPr>
        <w:t xml:space="preserve"> redovisningsmodellen innebär </w:t>
      </w:r>
      <w:r w:rsidR="00070866" w:rsidRPr="00070866">
        <w:rPr>
          <w:rFonts w:ascii="Times New Roman" w:hAnsi="Times New Roman"/>
          <w:i/>
        </w:rPr>
        <w:t>fullständig kostnadsfördelning</w:t>
      </w:r>
      <w:r w:rsidR="00070866">
        <w:rPr>
          <w:rFonts w:ascii="Times New Roman" w:hAnsi="Times New Roman"/>
        </w:rPr>
        <w:t xml:space="preserve"> d v s </w:t>
      </w:r>
      <w:r w:rsidR="00DD7EF7">
        <w:rPr>
          <w:rFonts w:ascii="Times New Roman" w:hAnsi="Times New Roman"/>
        </w:rPr>
        <w:t xml:space="preserve">att </w:t>
      </w:r>
      <w:r w:rsidR="00070866">
        <w:rPr>
          <w:rFonts w:ascii="Times New Roman" w:hAnsi="Times New Roman"/>
        </w:rPr>
        <w:t xml:space="preserve">samtliga kostnader </w:t>
      </w:r>
      <w:r w:rsidR="009941AB">
        <w:rPr>
          <w:rFonts w:ascii="Times New Roman" w:hAnsi="Times New Roman"/>
        </w:rPr>
        <w:t xml:space="preserve">ska fördelas och finansieras </w:t>
      </w:r>
      <w:r w:rsidR="00EC2284">
        <w:rPr>
          <w:rFonts w:ascii="Times New Roman" w:hAnsi="Times New Roman"/>
        </w:rPr>
        <w:t>av</w:t>
      </w:r>
      <w:r w:rsidR="009941AB">
        <w:rPr>
          <w:rFonts w:ascii="Times New Roman" w:hAnsi="Times New Roman"/>
        </w:rPr>
        <w:t xml:space="preserve"> aktuell </w:t>
      </w:r>
      <w:r w:rsidR="00E100B8">
        <w:rPr>
          <w:rFonts w:ascii="Times New Roman" w:hAnsi="Times New Roman"/>
        </w:rPr>
        <w:t>verksamhet och aktivitet.</w:t>
      </w:r>
      <w:r w:rsidR="00070866">
        <w:rPr>
          <w:rFonts w:ascii="Times New Roman" w:hAnsi="Times New Roman"/>
        </w:rPr>
        <w:t xml:space="preserve"> Detta innebär att både kostnader som genereras d</w:t>
      </w:r>
      <w:r w:rsidR="009D6002">
        <w:rPr>
          <w:rFonts w:ascii="Times New Roman" w:hAnsi="Times New Roman"/>
        </w:rPr>
        <w:t>irekt av genomförd aktivitet samt</w:t>
      </w:r>
      <w:r w:rsidR="00070866">
        <w:rPr>
          <w:rFonts w:ascii="Times New Roman" w:hAnsi="Times New Roman"/>
        </w:rPr>
        <w:t xml:space="preserve"> aktivitetens a</w:t>
      </w:r>
      <w:r w:rsidR="00EA2E0D">
        <w:rPr>
          <w:rFonts w:ascii="Times New Roman" w:hAnsi="Times New Roman"/>
        </w:rPr>
        <w:t>ndel av gemensamma kostnader</w:t>
      </w:r>
      <w:r w:rsidR="00070866">
        <w:rPr>
          <w:rFonts w:ascii="Times New Roman" w:hAnsi="Times New Roman"/>
        </w:rPr>
        <w:t xml:space="preserve"> </w:t>
      </w:r>
      <w:r w:rsidR="00E100B8">
        <w:rPr>
          <w:rFonts w:ascii="Times New Roman" w:hAnsi="Times New Roman"/>
        </w:rPr>
        <w:t xml:space="preserve">ska </w:t>
      </w:r>
      <w:r w:rsidR="00070866">
        <w:rPr>
          <w:rFonts w:ascii="Times New Roman" w:hAnsi="Times New Roman"/>
        </w:rPr>
        <w:t>finansieras</w:t>
      </w:r>
      <w:r w:rsidR="00EA2E0D">
        <w:rPr>
          <w:rFonts w:ascii="Times New Roman" w:hAnsi="Times New Roman"/>
        </w:rPr>
        <w:t xml:space="preserve"> per aktivitet</w:t>
      </w:r>
      <w:r w:rsidR="00070866">
        <w:rPr>
          <w:rFonts w:ascii="Times New Roman" w:hAnsi="Times New Roman"/>
        </w:rPr>
        <w:t>. A</w:t>
      </w:r>
      <w:r w:rsidR="00DD7EF7">
        <w:rPr>
          <w:rFonts w:ascii="Times New Roman" w:hAnsi="Times New Roman"/>
        </w:rPr>
        <w:t>lla kostnader</w:t>
      </w:r>
      <w:r w:rsidR="006B11D2">
        <w:rPr>
          <w:rFonts w:ascii="Times New Roman" w:hAnsi="Times New Roman"/>
        </w:rPr>
        <w:t xml:space="preserve"> för gemensam administration</w:t>
      </w:r>
      <w:r w:rsidR="00DD7EF7">
        <w:rPr>
          <w:rFonts w:ascii="Times New Roman" w:hAnsi="Times New Roman"/>
        </w:rPr>
        <w:t xml:space="preserve"> (</w:t>
      </w:r>
      <w:proofErr w:type="spellStart"/>
      <w:r w:rsidR="00DD7EF7">
        <w:rPr>
          <w:rFonts w:ascii="Times New Roman" w:hAnsi="Times New Roman"/>
        </w:rPr>
        <w:t>sk.</w:t>
      </w:r>
      <w:proofErr w:type="spellEnd"/>
      <w:r w:rsidR="00DD7EF7">
        <w:rPr>
          <w:rFonts w:ascii="Times New Roman" w:hAnsi="Times New Roman"/>
        </w:rPr>
        <w:t xml:space="preserve"> </w:t>
      </w:r>
      <w:r w:rsidR="00DD7EF7" w:rsidRPr="00B716F8">
        <w:rPr>
          <w:rFonts w:ascii="Times New Roman" w:hAnsi="Times New Roman"/>
          <w:i/>
        </w:rPr>
        <w:t>stödverksamhet</w:t>
      </w:r>
      <w:r w:rsidR="00B002CC">
        <w:rPr>
          <w:rFonts w:ascii="Times New Roman" w:hAnsi="Times New Roman"/>
        </w:rPr>
        <w:t xml:space="preserve">) </w:t>
      </w:r>
      <w:r w:rsidR="00DD7EF7">
        <w:rPr>
          <w:rFonts w:ascii="Times New Roman" w:hAnsi="Times New Roman"/>
        </w:rPr>
        <w:t>finansieras</w:t>
      </w:r>
      <w:r w:rsidR="00B002CC" w:rsidRPr="00B002CC">
        <w:rPr>
          <w:rFonts w:ascii="Times New Roman" w:hAnsi="Times New Roman"/>
        </w:rPr>
        <w:t xml:space="preserve"> </w:t>
      </w:r>
      <w:r w:rsidR="00B002CC">
        <w:rPr>
          <w:rFonts w:ascii="Times New Roman" w:hAnsi="Times New Roman"/>
        </w:rPr>
        <w:t>därmed</w:t>
      </w:r>
      <w:r w:rsidR="00DD7EF7">
        <w:rPr>
          <w:rFonts w:ascii="Times New Roman" w:hAnsi="Times New Roman"/>
        </w:rPr>
        <w:t xml:space="preserve"> av </w:t>
      </w:r>
      <w:r w:rsidR="00070866">
        <w:rPr>
          <w:rFonts w:ascii="Times New Roman" w:hAnsi="Times New Roman"/>
        </w:rPr>
        <w:t xml:space="preserve">samtliga </w:t>
      </w:r>
      <w:r w:rsidR="00DD7EF7">
        <w:rPr>
          <w:rFonts w:ascii="Times New Roman" w:hAnsi="Times New Roman"/>
        </w:rPr>
        <w:t xml:space="preserve">aktiviteter inom </w:t>
      </w:r>
      <w:r w:rsidR="00B716F8" w:rsidRPr="00B716F8">
        <w:rPr>
          <w:rFonts w:ascii="Times New Roman" w:hAnsi="Times New Roman"/>
          <w:i/>
        </w:rPr>
        <w:t>kärnverksamheterna</w:t>
      </w:r>
      <w:r w:rsidR="00B716F8">
        <w:rPr>
          <w:rFonts w:ascii="Times New Roman" w:hAnsi="Times New Roman"/>
        </w:rPr>
        <w:t xml:space="preserve"> </w:t>
      </w:r>
      <w:r w:rsidR="00DD7EF7">
        <w:rPr>
          <w:rFonts w:ascii="Times New Roman" w:hAnsi="Times New Roman"/>
        </w:rPr>
        <w:t>utbildning och forskning</w:t>
      </w:r>
      <w:r w:rsidR="00B716F8">
        <w:rPr>
          <w:rFonts w:ascii="Times New Roman" w:hAnsi="Times New Roman"/>
        </w:rPr>
        <w:t>.</w:t>
      </w:r>
      <w:r w:rsidR="00DD7EF7">
        <w:rPr>
          <w:rFonts w:ascii="Times New Roman" w:hAnsi="Times New Roman"/>
        </w:rPr>
        <w:t xml:space="preserve"> </w:t>
      </w:r>
      <w:r w:rsidR="00687F76">
        <w:rPr>
          <w:rFonts w:ascii="Times New Roman" w:hAnsi="Times New Roman"/>
        </w:rPr>
        <w:t>De</w:t>
      </w:r>
      <w:r w:rsidR="00117E1B">
        <w:rPr>
          <w:rFonts w:ascii="Times New Roman" w:hAnsi="Times New Roman"/>
        </w:rPr>
        <w:t xml:space="preserve"> gemensamma kostnader</w:t>
      </w:r>
      <w:r w:rsidR="00687F76">
        <w:rPr>
          <w:rFonts w:ascii="Times New Roman" w:hAnsi="Times New Roman"/>
        </w:rPr>
        <w:t>na</w:t>
      </w:r>
      <w:r w:rsidR="00117E1B">
        <w:rPr>
          <w:rFonts w:ascii="Times New Roman" w:hAnsi="Times New Roman"/>
        </w:rPr>
        <w:t xml:space="preserve"> fördelas på utbildning respektive forskning utifrån kopplingen till dessa verksamheter. </w:t>
      </w:r>
    </w:p>
    <w:p w14:paraId="15E7E486" w14:textId="77777777" w:rsidR="00705E22" w:rsidRDefault="00687F76" w:rsidP="00544995">
      <w:pPr>
        <w:jc w:val="both"/>
        <w:rPr>
          <w:rFonts w:ascii="Times New Roman" w:hAnsi="Times New Roman"/>
        </w:rPr>
      </w:pPr>
      <w:r>
        <w:rPr>
          <w:rFonts w:ascii="Times New Roman" w:hAnsi="Times New Roman"/>
        </w:rPr>
        <w:t xml:space="preserve">Fördelningen </w:t>
      </w:r>
      <w:r w:rsidR="00705E22">
        <w:rPr>
          <w:rFonts w:ascii="Times New Roman" w:hAnsi="Times New Roman"/>
        </w:rPr>
        <w:t xml:space="preserve">av kostnaderna till kärnverksamhet </w:t>
      </w:r>
      <w:r>
        <w:rPr>
          <w:rFonts w:ascii="Times New Roman" w:hAnsi="Times New Roman"/>
        </w:rPr>
        <w:t>sker</w:t>
      </w:r>
      <w:r w:rsidR="00B716F8">
        <w:rPr>
          <w:rFonts w:ascii="Times New Roman" w:hAnsi="Times New Roman"/>
        </w:rPr>
        <w:t xml:space="preserve"> </w:t>
      </w:r>
      <w:r w:rsidR="00705E22">
        <w:rPr>
          <w:rFonts w:ascii="Times New Roman" w:hAnsi="Times New Roman"/>
        </w:rPr>
        <w:t xml:space="preserve">från och med 2021 </w:t>
      </w:r>
      <w:r w:rsidR="00B716F8">
        <w:rPr>
          <w:rFonts w:ascii="Times New Roman" w:hAnsi="Times New Roman"/>
        </w:rPr>
        <w:t xml:space="preserve">via ett procentuellt påslag på löner </w:t>
      </w:r>
      <w:r w:rsidR="0093560D">
        <w:rPr>
          <w:rFonts w:ascii="Times New Roman" w:hAnsi="Times New Roman"/>
        </w:rPr>
        <w:t xml:space="preserve">inom </w:t>
      </w:r>
      <w:r w:rsidR="00B716F8">
        <w:rPr>
          <w:rFonts w:ascii="Times New Roman" w:hAnsi="Times New Roman"/>
        </w:rPr>
        <w:t>forskning</w:t>
      </w:r>
      <w:r w:rsidR="0093560D">
        <w:rPr>
          <w:rFonts w:ascii="Times New Roman" w:hAnsi="Times New Roman"/>
        </w:rPr>
        <w:t>sverksamheten</w:t>
      </w:r>
      <w:r w:rsidR="00705E22">
        <w:rPr>
          <w:rFonts w:ascii="Times New Roman" w:hAnsi="Times New Roman"/>
        </w:rPr>
        <w:t xml:space="preserve"> samt löner och konsulter inom utbildning</w:t>
      </w:r>
      <w:r w:rsidR="0093560D">
        <w:rPr>
          <w:rFonts w:ascii="Times New Roman" w:hAnsi="Times New Roman"/>
        </w:rPr>
        <w:t>sverksamheten</w:t>
      </w:r>
      <w:r w:rsidR="00705E22">
        <w:rPr>
          <w:rFonts w:ascii="Times New Roman" w:hAnsi="Times New Roman"/>
        </w:rPr>
        <w:t xml:space="preserve">. Fram till och med år 2020 </w:t>
      </w:r>
      <w:r w:rsidR="002333F1">
        <w:rPr>
          <w:rFonts w:ascii="Times New Roman" w:hAnsi="Times New Roman"/>
        </w:rPr>
        <w:t>är</w:t>
      </w:r>
      <w:r w:rsidR="00705E22">
        <w:rPr>
          <w:rFonts w:ascii="Times New Roman" w:hAnsi="Times New Roman"/>
        </w:rPr>
        <w:t xml:space="preserve"> fördelningsbasen löner</w:t>
      </w:r>
      <w:r w:rsidR="0093560D">
        <w:rPr>
          <w:rFonts w:ascii="Times New Roman" w:hAnsi="Times New Roman"/>
        </w:rPr>
        <w:t xml:space="preserve"> inom både utbildning och forskning</w:t>
      </w:r>
      <w:r w:rsidR="00B716F8">
        <w:rPr>
          <w:rFonts w:ascii="Times New Roman" w:hAnsi="Times New Roman"/>
        </w:rPr>
        <w:t xml:space="preserve">. </w:t>
      </w:r>
    </w:p>
    <w:p w14:paraId="7C36A12C" w14:textId="77777777" w:rsidR="00617BB2" w:rsidRDefault="009318D1" w:rsidP="00544995">
      <w:pPr>
        <w:jc w:val="both"/>
        <w:rPr>
          <w:rFonts w:ascii="Times New Roman" w:hAnsi="Times New Roman"/>
        </w:rPr>
      </w:pPr>
      <w:r>
        <w:rPr>
          <w:rFonts w:ascii="Times New Roman" w:hAnsi="Times New Roman"/>
        </w:rPr>
        <w:t>Under 2011-2012</w:t>
      </w:r>
      <w:r w:rsidR="00117E1B">
        <w:rPr>
          <w:rFonts w:ascii="Times New Roman" w:hAnsi="Times New Roman"/>
        </w:rPr>
        <w:t xml:space="preserve"> beräkna</w:t>
      </w:r>
      <w:r>
        <w:rPr>
          <w:rFonts w:ascii="Times New Roman" w:hAnsi="Times New Roman"/>
        </w:rPr>
        <w:t>de</w:t>
      </w:r>
      <w:r w:rsidR="00705E22">
        <w:rPr>
          <w:rFonts w:ascii="Times New Roman" w:hAnsi="Times New Roman"/>
        </w:rPr>
        <w:t>s institutionsspecifika påslag</w:t>
      </w:r>
      <w:r w:rsidR="00117E1B">
        <w:rPr>
          <w:rFonts w:ascii="Times New Roman" w:hAnsi="Times New Roman"/>
        </w:rPr>
        <w:t xml:space="preserve"> för full kostnadstäckning inom utbildning respektive forskning. </w:t>
      </w:r>
      <w:r>
        <w:rPr>
          <w:rFonts w:ascii="Times New Roman" w:hAnsi="Times New Roman"/>
        </w:rPr>
        <w:t xml:space="preserve">I samband med </w:t>
      </w:r>
      <w:r w:rsidR="008972A9">
        <w:rPr>
          <w:rFonts w:ascii="Times New Roman" w:hAnsi="Times New Roman"/>
        </w:rPr>
        <w:t xml:space="preserve">universitetets </w:t>
      </w:r>
      <w:r>
        <w:rPr>
          <w:rFonts w:ascii="Times New Roman" w:hAnsi="Times New Roman"/>
        </w:rPr>
        <w:t>o</w:t>
      </w:r>
      <w:r w:rsidR="008E0093">
        <w:rPr>
          <w:rFonts w:ascii="Times New Roman" w:hAnsi="Times New Roman"/>
        </w:rPr>
        <w:t>morganisation 2013-04-01 ersattes</w:t>
      </w:r>
      <w:r>
        <w:rPr>
          <w:rFonts w:ascii="Times New Roman" w:hAnsi="Times New Roman"/>
        </w:rPr>
        <w:t xml:space="preserve"> institutionsspecifika påslag med fakultetsgemensamma</w:t>
      </w:r>
      <w:r w:rsidR="008E0093">
        <w:rPr>
          <w:rFonts w:ascii="Times New Roman" w:hAnsi="Times New Roman"/>
        </w:rPr>
        <w:t xml:space="preserve"> från och med 2013</w:t>
      </w:r>
      <w:r>
        <w:rPr>
          <w:rFonts w:ascii="Times New Roman" w:hAnsi="Times New Roman"/>
        </w:rPr>
        <w:t>.</w:t>
      </w:r>
      <w:r w:rsidR="00E35C7F">
        <w:rPr>
          <w:rFonts w:ascii="Times New Roman" w:hAnsi="Times New Roman"/>
        </w:rPr>
        <w:t xml:space="preserve"> I fakultetsgemensamma kostnader inräknas samtliga fakultets- och </w:t>
      </w:r>
      <w:r w:rsidR="0077168E" w:rsidRPr="00124CCA">
        <w:rPr>
          <w:rFonts w:ascii="Times New Roman" w:hAnsi="Times New Roman"/>
        </w:rPr>
        <w:t>institution</w:t>
      </w:r>
      <w:r w:rsidR="00E35C7F" w:rsidRPr="00124CCA">
        <w:rPr>
          <w:rFonts w:ascii="Times New Roman" w:hAnsi="Times New Roman"/>
        </w:rPr>
        <w:t>sge</w:t>
      </w:r>
      <w:r w:rsidR="00E35C7F">
        <w:rPr>
          <w:rFonts w:ascii="Times New Roman" w:hAnsi="Times New Roman"/>
        </w:rPr>
        <w:t>mensamma kostnader.</w:t>
      </w:r>
    </w:p>
    <w:p w14:paraId="56D2138A" w14:textId="77777777" w:rsidR="00FE1453" w:rsidRDefault="0093560D" w:rsidP="0093560D">
      <w:pPr>
        <w:pStyle w:val="Sidhuvud"/>
        <w:tabs>
          <w:tab w:val="left" w:pos="476"/>
          <w:tab w:val="right" w:pos="5125"/>
        </w:tabs>
        <w:spacing w:after="60"/>
        <w:rPr>
          <w:rFonts w:ascii="Times New Roman" w:hAnsi="Times New Roman"/>
        </w:rPr>
      </w:pPr>
      <w:r>
        <w:rPr>
          <w:rFonts w:ascii="Times New Roman" w:hAnsi="Times New Roman"/>
        </w:rPr>
        <w:t>Under perioden 2011-2016 beräknades inom Mittuniversitetet</w:t>
      </w:r>
      <w:r w:rsidR="00FE1453" w:rsidRPr="00FE1453">
        <w:rPr>
          <w:rFonts w:ascii="Times New Roman" w:hAnsi="Times New Roman"/>
        </w:rPr>
        <w:t xml:space="preserve"> full kostnadstäckning </w:t>
      </w:r>
      <w:r w:rsidR="00FE1453" w:rsidRPr="00070866">
        <w:rPr>
          <w:rFonts w:ascii="Times New Roman" w:hAnsi="Times New Roman"/>
          <w:i/>
        </w:rPr>
        <w:t>per år</w:t>
      </w:r>
      <w:r w:rsidR="00FE1453" w:rsidRPr="00FE1453">
        <w:rPr>
          <w:rFonts w:ascii="Times New Roman" w:hAnsi="Times New Roman"/>
        </w:rPr>
        <w:t xml:space="preserve"> för finansiering av gemensam stödverksamhet (OH). Aktuellt års procentsats för påslag för OH basera</w:t>
      </w:r>
      <w:r>
        <w:rPr>
          <w:rFonts w:ascii="Times New Roman" w:hAnsi="Times New Roman"/>
        </w:rPr>
        <w:t>de</w:t>
      </w:r>
      <w:r w:rsidR="00C71FC8">
        <w:rPr>
          <w:rFonts w:ascii="Times New Roman" w:hAnsi="Times New Roman"/>
        </w:rPr>
        <w:t>s därmed på budget</w:t>
      </w:r>
      <w:r w:rsidR="00FE1453" w:rsidRPr="00FE1453">
        <w:rPr>
          <w:rFonts w:ascii="Times New Roman" w:hAnsi="Times New Roman"/>
        </w:rPr>
        <w:t xml:space="preserve">värden samt med fördelningsbasen direkt lön. Full kostnadstäckning per år ger </w:t>
      </w:r>
      <w:r>
        <w:rPr>
          <w:rFonts w:ascii="Times New Roman" w:hAnsi="Times New Roman"/>
        </w:rPr>
        <w:t xml:space="preserve">dock </w:t>
      </w:r>
      <w:r w:rsidR="00FE1453" w:rsidRPr="00FE1453">
        <w:rPr>
          <w:rFonts w:ascii="Times New Roman" w:hAnsi="Times New Roman"/>
        </w:rPr>
        <w:t>vid tillfälliga förändringar i omsättning även tillfälliga förändringar i procentsatser för indirekta kostnader (OH) vilket försvårar både kort- och långsiktiga planeringar av verksamheten. Med anledning av tillfälliga förändringa</w:t>
      </w:r>
      <w:r>
        <w:rPr>
          <w:rFonts w:ascii="Times New Roman" w:hAnsi="Times New Roman"/>
        </w:rPr>
        <w:t xml:space="preserve">r inom främst forskningsverksamheten beslutades </w:t>
      </w:r>
      <w:r w:rsidR="00FE1453" w:rsidRPr="00FE1453">
        <w:rPr>
          <w:rFonts w:ascii="Times New Roman" w:hAnsi="Times New Roman"/>
        </w:rPr>
        <w:t xml:space="preserve">från och med 2018 </w:t>
      </w:r>
      <w:r>
        <w:rPr>
          <w:rFonts w:ascii="Times New Roman" w:hAnsi="Times New Roman"/>
        </w:rPr>
        <w:t xml:space="preserve">om </w:t>
      </w:r>
      <w:r w:rsidR="00FE1453" w:rsidRPr="00FE1453">
        <w:rPr>
          <w:rFonts w:ascii="Times New Roman" w:hAnsi="Times New Roman"/>
        </w:rPr>
        <w:t>full kostnadstäckning på några års sikt där ”på några års sikt” motsvara</w:t>
      </w:r>
      <w:r>
        <w:rPr>
          <w:rFonts w:ascii="Times New Roman" w:hAnsi="Times New Roman"/>
        </w:rPr>
        <w:t>de</w:t>
      </w:r>
      <w:r w:rsidR="00FE1453" w:rsidRPr="00FE1453">
        <w:rPr>
          <w:rFonts w:ascii="Times New Roman" w:hAnsi="Times New Roman"/>
        </w:rPr>
        <w:t xml:space="preserve"> de fyra </w:t>
      </w:r>
      <w:r>
        <w:rPr>
          <w:rFonts w:ascii="Times New Roman" w:hAnsi="Times New Roman"/>
        </w:rPr>
        <w:t xml:space="preserve">närmast </w:t>
      </w:r>
      <w:r w:rsidR="00FE1453" w:rsidRPr="00FE1453">
        <w:rPr>
          <w:rFonts w:ascii="Times New Roman" w:hAnsi="Times New Roman"/>
        </w:rPr>
        <w:t xml:space="preserve">föregående årens OH-procent (Dnr MIUN 2016/1358). För 2017 </w:t>
      </w:r>
      <w:r>
        <w:rPr>
          <w:rFonts w:ascii="Times New Roman" w:hAnsi="Times New Roman"/>
        </w:rPr>
        <w:t>beslutades</w:t>
      </w:r>
      <w:r w:rsidR="00FE1453" w:rsidRPr="00FE1453">
        <w:rPr>
          <w:rFonts w:ascii="Times New Roman" w:hAnsi="Times New Roman"/>
        </w:rPr>
        <w:t xml:space="preserve"> om en övergångslösning med en beräkning av snittprocent för de tre föregående åren.</w:t>
      </w:r>
      <w:r w:rsidR="00FE1453">
        <w:rPr>
          <w:rFonts w:ascii="Times New Roman" w:hAnsi="Times New Roman"/>
        </w:rPr>
        <w:t xml:space="preserve"> </w:t>
      </w:r>
      <w:r>
        <w:rPr>
          <w:rFonts w:ascii="Times New Roman" w:hAnsi="Times New Roman"/>
        </w:rPr>
        <w:t xml:space="preserve">Efter analys av budgetvärden mot utfall justeras modellen ytterligare från och med 2021 till att beräkningsunderlaget ska motsvara fyra tidigare </w:t>
      </w:r>
      <w:r w:rsidR="00264802">
        <w:rPr>
          <w:rFonts w:ascii="Times New Roman" w:hAnsi="Times New Roman"/>
        </w:rPr>
        <w:t xml:space="preserve">avslutade d v s </w:t>
      </w:r>
      <w:proofErr w:type="spellStart"/>
      <w:r w:rsidRPr="00C71FC8">
        <w:rPr>
          <w:rFonts w:ascii="Times New Roman" w:hAnsi="Times New Roman"/>
          <w:i/>
        </w:rPr>
        <w:t>utfallsår</w:t>
      </w:r>
      <w:proofErr w:type="spellEnd"/>
      <w:r>
        <w:rPr>
          <w:rFonts w:ascii="Times New Roman" w:hAnsi="Times New Roman"/>
        </w:rPr>
        <w:t xml:space="preserve"> (Dnr MIUN </w:t>
      </w:r>
      <w:r w:rsidRPr="0093560D">
        <w:rPr>
          <w:rFonts w:ascii="Times New Roman" w:hAnsi="Times New Roman"/>
        </w:rPr>
        <w:t>2020/1169</w:t>
      </w:r>
      <w:r>
        <w:rPr>
          <w:rFonts w:ascii="Times New Roman" w:hAnsi="Times New Roman"/>
        </w:rPr>
        <w:t>).</w:t>
      </w:r>
    </w:p>
    <w:p w14:paraId="54446707" w14:textId="77777777" w:rsidR="00BF59E2" w:rsidRDefault="00BF59E2" w:rsidP="0093560D">
      <w:pPr>
        <w:pStyle w:val="Sidhuvud"/>
        <w:tabs>
          <w:tab w:val="left" w:pos="476"/>
          <w:tab w:val="right" w:pos="5125"/>
        </w:tabs>
        <w:spacing w:after="60"/>
        <w:rPr>
          <w:rFonts w:ascii="Times New Roman" w:hAnsi="Times New Roman"/>
        </w:rPr>
      </w:pPr>
    </w:p>
    <w:p w14:paraId="5F3165D6" w14:textId="77777777" w:rsidR="00BF59E2" w:rsidRDefault="00BF59E2" w:rsidP="0093560D">
      <w:pPr>
        <w:pStyle w:val="Sidhuvud"/>
        <w:tabs>
          <w:tab w:val="left" w:pos="476"/>
          <w:tab w:val="right" w:pos="5125"/>
        </w:tabs>
        <w:spacing w:after="60"/>
        <w:rPr>
          <w:rFonts w:ascii="Times New Roman" w:hAnsi="Times New Roman"/>
        </w:rPr>
      </w:pPr>
      <w:r>
        <w:rPr>
          <w:rFonts w:ascii="Times New Roman" w:hAnsi="Times New Roman"/>
        </w:rPr>
        <w:t>Från och med 2021 ska även, i vissa fall där det är möjligt, viss administration direktdebiteras på projekt. Se vidare avsnitt 5.</w:t>
      </w:r>
    </w:p>
    <w:p w14:paraId="051CAAF9" w14:textId="77777777" w:rsidR="007F5F4B" w:rsidRDefault="007F5F4B" w:rsidP="0093560D">
      <w:pPr>
        <w:pStyle w:val="Sidhuvud"/>
        <w:tabs>
          <w:tab w:val="left" w:pos="476"/>
          <w:tab w:val="right" w:pos="5125"/>
        </w:tabs>
        <w:spacing w:after="60"/>
        <w:rPr>
          <w:rFonts w:asciiTheme="majorHAnsi" w:hAnsiTheme="majorHAnsi" w:cstheme="majorHAnsi"/>
          <w:noProof/>
        </w:rPr>
      </w:pPr>
    </w:p>
    <w:p w14:paraId="37D7B8F9" w14:textId="77777777" w:rsidR="00BF59E2" w:rsidRPr="0093560D" w:rsidRDefault="00BF59E2" w:rsidP="0093560D">
      <w:pPr>
        <w:pStyle w:val="Sidhuvud"/>
        <w:tabs>
          <w:tab w:val="left" w:pos="476"/>
          <w:tab w:val="right" w:pos="5125"/>
        </w:tabs>
        <w:spacing w:after="60"/>
        <w:rPr>
          <w:rFonts w:asciiTheme="majorHAnsi" w:hAnsiTheme="majorHAnsi" w:cstheme="majorHAnsi"/>
          <w:noProof/>
        </w:rPr>
      </w:pPr>
    </w:p>
    <w:p w14:paraId="69DFE9DE" w14:textId="77777777" w:rsidR="00B716F8" w:rsidRDefault="00BF3C3B" w:rsidP="00FE1453">
      <w:pPr>
        <w:jc w:val="both"/>
        <w:rPr>
          <w:rFonts w:ascii="Times New Roman" w:hAnsi="Times New Roman"/>
        </w:rPr>
      </w:pPr>
      <w:proofErr w:type="spellStart"/>
      <w:r>
        <w:rPr>
          <w:rFonts w:ascii="Times New Roman" w:hAnsi="Times New Roman"/>
        </w:rPr>
        <w:t>SUHFs</w:t>
      </w:r>
      <w:proofErr w:type="spellEnd"/>
      <w:r>
        <w:rPr>
          <w:rFonts w:ascii="Times New Roman" w:hAnsi="Times New Roman"/>
        </w:rPr>
        <w:t xml:space="preserve"> redovisningsmodell reglerar även hur lokalkostnaderna för internhyra ska beräknas. </w:t>
      </w:r>
      <w:r w:rsidR="00A64802">
        <w:rPr>
          <w:rFonts w:ascii="Times New Roman" w:hAnsi="Times New Roman"/>
        </w:rPr>
        <w:t>I kapitel 2-5</w:t>
      </w:r>
      <w:r>
        <w:rPr>
          <w:rFonts w:ascii="Times New Roman" w:hAnsi="Times New Roman"/>
        </w:rPr>
        <w:t xml:space="preserve"> nedan beskrivs mer om modellen för indirek</w:t>
      </w:r>
      <w:r w:rsidR="00A64802">
        <w:rPr>
          <w:rFonts w:ascii="Times New Roman" w:hAnsi="Times New Roman"/>
        </w:rPr>
        <w:t>ta kostnader och i kapitel 6</w:t>
      </w:r>
      <w:r>
        <w:rPr>
          <w:rFonts w:ascii="Times New Roman" w:hAnsi="Times New Roman"/>
        </w:rPr>
        <w:t xml:space="preserve"> beskrivs unive</w:t>
      </w:r>
      <w:r w:rsidR="00AA0218">
        <w:rPr>
          <w:rFonts w:ascii="Times New Roman" w:hAnsi="Times New Roman"/>
        </w:rPr>
        <w:t>rsitetets modell för internhyra.</w:t>
      </w:r>
    </w:p>
    <w:p w14:paraId="4E1BD971" w14:textId="77777777" w:rsidR="00A02B0C" w:rsidRPr="00A02B0C" w:rsidRDefault="00A02B0C" w:rsidP="00A02B0C">
      <w:pPr>
        <w:jc w:val="both"/>
        <w:rPr>
          <w:rFonts w:ascii="Times New Roman" w:hAnsi="Times New Roman"/>
        </w:rPr>
      </w:pPr>
      <w:r w:rsidRPr="00A02B0C">
        <w:rPr>
          <w:rFonts w:ascii="Times New Roman" w:hAnsi="Times New Roman"/>
        </w:rPr>
        <w:t xml:space="preserve">Budgetårets påslagsprocent (OH-procent) ingår </w:t>
      </w:r>
      <w:r>
        <w:rPr>
          <w:rFonts w:ascii="Times New Roman" w:hAnsi="Times New Roman"/>
        </w:rPr>
        <w:t xml:space="preserve">i </w:t>
      </w:r>
      <w:r w:rsidRPr="00A02B0C">
        <w:rPr>
          <w:rFonts w:ascii="Times New Roman" w:hAnsi="Times New Roman"/>
        </w:rPr>
        <w:t xml:space="preserve">och beslutas </w:t>
      </w:r>
      <w:r w:rsidR="00C71FC8">
        <w:rPr>
          <w:rFonts w:ascii="Times New Roman" w:hAnsi="Times New Roman"/>
        </w:rPr>
        <w:t xml:space="preserve">av rektor </w:t>
      </w:r>
      <w:r>
        <w:rPr>
          <w:rFonts w:ascii="Times New Roman" w:hAnsi="Times New Roman"/>
        </w:rPr>
        <w:t xml:space="preserve">för </w:t>
      </w:r>
      <w:r w:rsidRPr="00A02B0C">
        <w:rPr>
          <w:rFonts w:ascii="Times New Roman" w:hAnsi="Times New Roman"/>
        </w:rPr>
        <w:t xml:space="preserve">varje år i samband med beslut </w:t>
      </w:r>
      <w:r>
        <w:rPr>
          <w:rFonts w:ascii="Times New Roman" w:hAnsi="Times New Roman"/>
        </w:rPr>
        <w:t xml:space="preserve">om </w:t>
      </w:r>
      <w:r w:rsidR="00C71FC8">
        <w:rPr>
          <w:rFonts w:ascii="Times New Roman" w:hAnsi="Times New Roman"/>
        </w:rPr>
        <w:t>aktivitetsplan och intern fördelning av medel</w:t>
      </w:r>
      <w:r w:rsidRPr="00A02B0C">
        <w:rPr>
          <w:rFonts w:ascii="Times New Roman" w:hAnsi="Times New Roman"/>
        </w:rPr>
        <w:t>.</w:t>
      </w:r>
    </w:p>
    <w:p w14:paraId="1D719E31" w14:textId="77777777" w:rsidR="00CA7D70" w:rsidRPr="00680BBA" w:rsidRDefault="00CA7D70" w:rsidP="00544995">
      <w:pPr>
        <w:jc w:val="both"/>
        <w:rPr>
          <w:rFonts w:ascii="Times New Roman" w:hAnsi="Times New Roman"/>
        </w:rPr>
      </w:pPr>
    </w:p>
    <w:p w14:paraId="2ACE84FC" w14:textId="77777777" w:rsidR="00680BBA" w:rsidRDefault="00680BBA" w:rsidP="00680BBA">
      <w:pPr>
        <w:pStyle w:val="Rubrik1"/>
        <w:rPr>
          <w:rFonts w:ascii="Times New Roman" w:hAnsi="Times New Roman" w:cs="Times New Roman"/>
        </w:rPr>
      </w:pPr>
      <w:bookmarkStart w:id="1" w:name="_Toc58848001"/>
      <w:r w:rsidRPr="00680BBA">
        <w:rPr>
          <w:rFonts w:ascii="Times New Roman" w:hAnsi="Times New Roman" w:cs="Times New Roman"/>
        </w:rPr>
        <w:t xml:space="preserve">2. </w:t>
      </w:r>
      <w:r w:rsidR="00CE61CD">
        <w:rPr>
          <w:rFonts w:ascii="Times New Roman" w:hAnsi="Times New Roman" w:cs="Times New Roman"/>
        </w:rPr>
        <w:t>R</w:t>
      </w:r>
      <w:r w:rsidR="00544995">
        <w:rPr>
          <w:rFonts w:ascii="Times New Roman" w:hAnsi="Times New Roman" w:cs="Times New Roman"/>
        </w:rPr>
        <w:t>edovisningsmodell för direkta och indirekta kostnader</w:t>
      </w:r>
      <w:bookmarkEnd w:id="1"/>
    </w:p>
    <w:p w14:paraId="4FD08074" w14:textId="77777777" w:rsidR="00680BBA" w:rsidRPr="00680BBA" w:rsidRDefault="00D90FE5" w:rsidP="00680BBA">
      <w:pPr>
        <w:pStyle w:val="Rubrik2"/>
        <w:numPr>
          <w:ilvl w:val="1"/>
          <w:numId w:val="1"/>
        </w:numPr>
        <w:tabs>
          <w:tab w:val="left" w:pos="540"/>
        </w:tabs>
        <w:rPr>
          <w:rFonts w:ascii="Times New Roman" w:hAnsi="Times New Roman" w:cs="Times New Roman"/>
          <w:i w:val="0"/>
        </w:rPr>
      </w:pPr>
      <w:bookmarkStart w:id="2" w:name="_Toc58848002"/>
      <w:r>
        <w:rPr>
          <w:rFonts w:ascii="Times New Roman" w:hAnsi="Times New Roman" w:cs="Times New Roman"/>
          <w:i w:val="0"/>
        </w:rPr>
        <w:t>Definitioner</w:t>
      </w:r>
      <w:bookmarkEnd w:id="2"/>
    </w:p>
    <w:p w14:paraId="0CDCB1DE" w14:textId="77777777" w:rsidR="00D90FE5" w:rsidRPr="00544995" w:rsidRDefault="00544995" w:rsidP="00680BBA">
      <w:pPr>
        <w:jc w:val="both"/>
        <w:rPr>
          <w:rFonts w:ascii="Times New Roman" w:hAnsi="Times New Roman"/>
        </w:rPr>
      </w:pPr>
      <w:r>
        <w:rPr>
          <w:rFonts w:ascii="Times New Roman" w:hAnsi="Times New Roman"/>
        </w:rPr>
        <w:t>Den nya redovisningsmodellen innebär att kostnader definieras samt hanteras på ett enhetligt sätt</w:t>
      </w:r>
      <w:r w:rsidR="006B669A">
        <w:rPr>
          <w:rFonts w:ascii="Times New Roman" w:hAnsi="Times New Roman"/>
        </w:rPr>
        <w:t xml:space="preserve"> </w:t>
      </w:r>
      <w:r w:rsidR="007712DE">
        <w:rPr>
          <w:rFonts w:ascii="Times New Roman" w:hAnsi="Times New Roman"/>
        </w:rPr>
        <w:t>mellan</w:t>
      </w:r>
      <w:r w:rsidR="006B669A">
        <w:rPr>
          <w:rFonts w:ascii="Times New Roman" w:hAnsi="Times New Roman"/>
        </w:rPr>
        <w:t xml:space="preserve"> och </w:t>
      </w:r>
      <w:r w:rsidR="007712DE">
        <w:rPr>
          <w:rFonts w:ascii="Times New Roman" w:hAnsi="Times New Roman"/>
        </w:rPr>
        <w:t>inom</w:t>
      </w:r>
      <w:r w:rsidR="006B669A">
        <w:rPr>
          <w:rFonts w:ascii="Times New Roman" w:hAnsi="Times New Roman"/>
        </w:rPr>
        <w:t xml:space="preserve"> lärosäten</w:t>
      </w:r>
      <w:r>
        <w:rPr>
          <w:rFonts w:ascii="Times New Roman" w:hAnsi="Times New Roman"/>
        </w:rPr>
        <w:t xml:space="preserve">. </w:t>
      </w:r>
      <w:r w:rsidR="006C55E3">
        <w:rPr>
          <w:rFonts w:ascii="Times New Roman" w:hAnsi="Times New Roman"/>
        </w:rPr>
        <w:t>Kostnaderna beskrivs efter var de uppstår samt hur de finansieras;</w:t>
      </w:r>
    </w:p>
    <w:p w14:paraId="09A04F51" w14:textId="77777777" w:rsidR="00680BBA" w:rsidRPr="00680BBA" w:rsidRDefault="00680BBA" w:rsidP="00D90FE5">
      <w:pPr>
        <w:ind w:left="2608" w:hanging="2608"/>
        <w:jc w:val="both"/>
        <w:rPr>
          <w:rFonts w:ascii="Times New Roman" w:hAnsi="Times New Roman"/>
        </w:rPr>
      </w:pPr>
      <w:r w:rsidRPr="00680BBA">
        <w:rPr>
          <w:rFonts w:ascii="Times New Roman" w:hAnsi="Times New Roman"/>
          <w:i/>
        </w:rPr>
        <w:t>Kärnverksamhet:</w:t>
      </w:r>
      <w:r w:rsidRPr="00680BBA">
        <w:rPr>
          <w:rFonts w:ascii="Times New Roman" w:hAnsi="Times New Roman"/>
        </w:rPr>
        <w:t xml:space="preserve"> </w:t>
      </w:r>
      <w:r w:rsidRPr="00680BBA">
        <w:rPr>
          <w:rFonts w:ascii="Times New Roman" w:hAnsi="Times New Roman"/>
        </w:rPr>
        <w:tab/>
        <w:t>All verksamhet som bedrivs vid högskolan i syfte att uppfylla det övergripande verksamhetsmålet och som inte är att betrakta som stöd eller ledning. Här ingår forskning och forskarutbildning, grundläggande och avancerad utbildning samt samverkan.</w:t>
      </w:r>
    </w:p>
    <w:p w14:paraId="660F9CB5" w14:textId="77777777" w:rsidR="00B91F14" w:rsidRDefault="00680BBA" w:rsidP="00680BBA">
      <w:pPr>
        <w:ind w:left="2608" w:hanging="2608"/>
        <w:jc w:val="both"/>
        <w:rPr>
          <w:rFonts w:ascii="Times New Roman" w:hAnsi="Times New Roman"/>
        </w:rPr>
      </w:pPr>
      <w:r w:rsidRPr="00680BBA">
        <w:rPr>
          <w:rFonts w:ascii="Times New Roman" w:hAnsi="Times New Roman"/>
          <w:i/>
        </w:rPr>
        <w:t>Stödverksamhet:</w:t>
      </w:r>
      <w:r w:rsidRPr="00680BBA">
        <w:rPr>
          <w:rFonts w:ascii="Times New Roman" w:hAnsi="Times New Roman"/>
        </w:rPr>
        <w:t xml:space="preserve"> </w:t>
      </w:r>
      <w:r w:rsidRPr="00680BBA">
        <w:rPr>
          <w:rFonts w:ascii="Times New Roman" w:hAnsi="Times New Roman"/>
        </w:rPr>
        <w:tab/>
        <w:t>De gemensamma aktiviteter som bedrivs av stöd- och ledningsfunktionerna på olika nivåer</w:t>
      </w:r>
      <w:r w:rsidR="00B91F14">
        <w:rPr>
          <w:rFonts w:ascii="Times New Roman" w:hAnsi="Times New Roman"/>
        </w:rPr>
        <w:t xml:space="preserve">. </w:t>
      </w:r>
    </w:p>
    <w:p w14:paraId="7FFBB420" w14:textId="77777777" w:rsidR="00A65616" w:rsidRDefault="00B91F14" w:rsidP="004E2F04">
      <w:pPr>
        <w:ind w:left="2608"/>
        <w:jc w:val="both"/>
        <w:rPr>
          <w:rFonts w:ascii="Times New Roman" w:hAnsi="Times New Roman"/>
        </w:rPr>
      </w:pPr>
      <w:r>
        <w:rPr>
          <w:rFonts w:ascii="Times New Roman" w:hAnsi="Times New Roman"/>
        </w:rPr>
        <w:t>Under 2011-2012 har</w:t>
      </w:r>
      <w:r w:rsidR="00C54AE0">
        <w:rPr>
          <w:rFonts w:ascii="Times New Roman" w:hAnsi="Times New Roman"/>
        </w:rPr>
        <w:t xml:space="preserve"> Mittuniversitetet delat upp</w:t>
      </w:r>
      <w:r>
        <w:rPr>
          <w:rFonts w:ascii="Times New Roman" w:hAnsi="Times New Roman"/>
        </w:rPr>
        <w:t xml:space="preserve"> stödverksamhet </w:t>
      </w:r>
      <w:r w:rsidR="00C54AE0">
        <w:rPr>
          <w:rFonts w:ascii="Times New Roman" w:hAnsi="Times New Roman"/>
        </w:rPr>
        <w:t xml:space="preserve">i </w:t>
      </w:r>
      <w:r>
        <w:rPr>
          <w:rFonts w:ascii="Times New Roman" w:hAnsi="Times New Roman"/>
        </w:rPr>
        <w:t>två nivåer d v s institutions- samt universitetsgemensam (förvaltning, bibliotek, fakultet).  I</w:t>
      </w:r>
      <w:r w:rsidR="009318D1">
        <w:rPr>
          <w:rFonts w:ascii="Times New Roman" w:hAnsi="Times New Roman"/>
        </w:rPr>
        <w:t xml:space="preserve"> samband med omorganisation under 2013 </w:t>
      </w:r>
      <w:r w:rsidR="0066210C">
        <w:rPr>
          <w:rFonts w:ascii="Times New Roman" w:hAnsi="Times New Roman"/>
        </w:rPr>
        <w:t>blev</w:t>
      </w:r>
      <w:r>
        <w:rPr>
          <w:rFonts w:ascii="Times New Roman" w:hAnsi="Times New Roman"/>
        </w:rPr>
        <w:t xml:space="preserve"> uppdelningen fortfarande två nivåer, </w:t>
      </w:r>
      <w:r w:rsidR="0066210C">
        <w:rPr>
          <w:rFonts w:ascii="Times New Roman" w:hAnsi="Times New Roman"/>
        </w:rPr>
        <w:t>men i universitetsgemensam inräknades</w:t>
      </w:r>
      <w:r>
        <w:rPr>
          <w:rFonts w:ascii="Times New Roman" w:hAnsi="Times New Roman"/>
        </w:rPr>
        <w:t xml:space="preserve"> förvaltning</w:t>
      </w:r>
      <w:r w:rsidR="0077168E">
        <w:rPr>
          <w:rFonts w:ascii="Times New Roman" w:hAnsi="Times New Roman"/>
        </w:rPr>
        <w:t>, kommunikation och samverkan,</w:t>
      </w:r>
      <w:r>
        <w:rPr>
          <w:rFonts w:ascii="Times New Roman" w:hAnsi="Times New Roman"/>
        </w:rPr>
        <w:t xml:space="preserve"> bibliotek</w:t>
      </w:r>
      <w:r w:rsidR="0066210C">
        <w:rPr>
          <w:rFonts w:ascii="Times New Roman" w:hAnsi="Times New Roman"/>
        </w:rPr>
        <w:t xml:space="preserve"> samt i fakultetsgemensamt ingick </w:t>
      </w:r>
      <w:r>
        <w:rPr>
          <w:rFonts w:ascii="Times New Roman" w:hAnsi="Times New Roman"/>
        </w:rPr>
        <w:t xml:space="preserve">fakultets- samt </w:t>
      </w:r>
      <w:r w:rsidR="00E35C7F">
        <w:rPr>
          <w:rFonts w:ascii="Times New Roman" w:hAnsi="Times New Roman"/>
        </w:rPr>
        <w:t>avdelningsgemensam stödverksamhet.</w:t>
      </w:r>
      <w:r>
        <w:rPr>
          <w:rFonts w:ascii="Times New Roman" w:hAnsi="Times New Roman"/>
        </w:rPr>
        <w:t xml:space="preserve"> </w:t>
      </w:r>
      <w:r w:rsidR="0066210C">
        <w:rPr>
          <w:rFonts w:ascii="Times New Roman" w:hAnsi="Times New Roman"/>
        </w:rPr>
        <w:t>Fr o m 2018 har all universitet</w:t>
      </w:r>
      <w:r w:rsidR="0077168E">
        <w:rPr>
          <w:rFonts w:ascii="Times New Roman" w:hAnsi="Times New Roman"/>
        </w:rPr>
        <w:t xml:space="preserve">sgemensam stödverksamhet samlats under förvaltningen samt </w:t>
      </w:r>
      <w:r w:rsidR="0066210C">
        <w:rPr>
          <w:rFonts w:ascii="Times New Roman" w:hAnsi="Times New Roman"/>
        </w:rPr>
        <w:t xml:space="preserve">enheter </w:t>
      </w:r>
      <w:r w:rsidR="0077168E">
        <w:rPr>
          <w:rFonts w:ascii="Times New Roman" w:hAnsi="Times New Roman"/>
        </w:rPr>
        <w:t xml:space="preserve">under fakulteter </w:t>
      </w:r>
      <w:r w:rsidR="0066210C">
        <w:rPr>
          <w:rFonts w:ascii="Times New Roman" w:hAnsi="Times New Roman"/>
        </w:rPr>
        <w:t>benämns institutioner.</w:t>
      </w:r>
    </w:p>
    <w:p w14:paraId="763A30CC" w14:textId="77777777" w:rsidR="00C71FC8" w:rsidRPr="003938FA" w:rsidRDefault="006C55E3" w:rsidP="00C71FC8">
      <w:pPr>
        <w:ind w:left="2608" w:hanging="2608"/>
        <w:jc w:val="both"/>
        <w:rPr>
          <w:rFonts w:ascii="Times New Roman" w:hAnsi="Times New Roman"/>
        </w:rPr>
      </w:pPr>
      <w:r w:rsidRPr="00D90FE5">
        <w:rPr>
          <w:rFonts w:ascii="Times New Roman" w:hAnsi="Times New Roman"/>
          <w:i/>
        </w:rPr>
        <w:t>Direkta kostnader:</w:t>
      </w:r>
      <w:r>
        <w:rPr>
          <w:rFonts w:ascii="Times New Roman" w:hAnsi="Times New Roman"/>
          <w:i/>
        </w:rPr>
        <w:tab/>
      </w:r>
      <w:r w:rsidR="003938FA">
        <w:rPr>
          <w:rFonts w:ascii="Times New Roman" w:hAnsi="Times New Roman"/>
        </w:rPr>
        <w:t>Direkta kostnader uppstår och är dir</w:t>
      </w:r>
      <w:r w:rsidR="00054F15">
        <w:rPr>
          <w:rFonts w:ascii="Times New Roman" w:hAnsi="Times New Roman"/>
        </w:rPr>
        <w:t xml:space="preserve">ekt kopplade till en aktivitet. </w:t>
      </w:r>
      <w:r w:rsidR="003938FA">
        <w:rPr>
          <w:rFonts w:ascii="Times New Roman" w:hAnsi="Times New Roman"/>
        </w:rPr>
        <w:t>Exempel på direkta kostnader är löner, material, lokaler som uppstår och är direkt kopplade till att en aktivitet genomförs.</w:t>
      </w:r>
      <w:r w:rsidR="00C71FC8">
        <w:rPr>
          <w:rFonts w:ascii="Times New Roman" w:hAnsi="Times New Roman"/>
        </w:rPr>
        <w:t xml:space="preserve"> </w:t>
      </w:r>
      <w:r w:rsidR="00BF59E2">
        <w:rPr>
          <w:rFonts w:ascii="Times New Roman" w:hAnsi="Times New Roman"/>
        </w:rPr>
        <w:t>I vissa fall kan viss administration även räknas som direkt kostnad.</w:t>
      </w:r>
    </w:p>
    <w:p w14:paraId="316F0802" w14:textId="77777777" w:rsidR="00054F15" w:rsidRDefault="006C55E3" w:rsidP="00054F15">
      <w:pPr>
        <w:spacing w:after="0" w:line="240" w:lineRule="auto"/>
        <w:ind w:left="2608" w:hanging="2608"/>
        <w:jc w:val="both"/>
        <w:rPr>
          <w:rFonts w:ascii="Times New Roman" w:hAnsi="Times New Roman"/>
        </w:rPr>
      </w:pPr>
      <w:r w:rsidRPr="00D90FE5">
        <w:rPr>
          <w:rFonts w:ascii="Times New Roman" w:hAnsi="Times New Roman"/>
          <w:i/>
        </w:rPr>
        <w:t>Indirekta kostnader:</w:t>
      </w:r>
      <w:r>
        <w:rPr>
          <w:rFonts w:ascii="Times New Roman" w:hAnsi="Times New Roman"/>
          <w:i/>
        </w:rPr>
        <w:tab/>
      </w:r>
      <w:r w:rsidR="00190C41">
        <w:rPr>
          <w:rFonts w:ascii="Times New Roman" w:hAnsi="Times New Roman"/>
        </w:rPr>
        <w:t>Indirekta</w:t>
      </w:r>
      <w:r w:rsidRPr="00054F15">
        <w:rPr>
          <w:rFonts w:ascii="Times New Roman" w:hAnsi="Times New Roman"/>
        </w:rPr>
        <w:t xml:space="preserve"> kostnader fördelas via påslag på aktiviteter inom kärnverksamheten.</w:t>
      </w:r>
      <w:r w:rsidR="00054F15" w:rsidRPr="00054F15">
        <w:rPr>
          <w:rFonts w:ascii="Arial" w:eastAsia="+mn-ea" w:hAnsi="Arial" w:cs="+mn-cs"/>
          <w:sz w:val="48"/>
          <w:szCs w:val="48"/>
          <w:lang w:eastAsia="sv-SE"/>
        </w:rPr>
        <w:t xml:space="preserve"> </w:t>
      </w:r>
      <w:r w:rsidR="00190C41">
        <w:rPr>
          <w:rFonts w:ascii="Times New Roman" w:hAnsi="Times New Roman"/>
        </w:rPr>
        <w:t>Dessa kostnader k</w:t>
      </w:r>
      <w:r w:rsidR="00190C41" w:rsidRPr="00054F15">
        <w:rPr>
          <w:rFonts w:ascii="Times New Roman" w:hAnsi="Times New Roman"/>
        </w:rPr>
        <w:t>an inte kop</w:t>
      </w:r>
      <w:r w:rsidR="00054F15" w:rsidRPr="00054F15">
        <w:rPr>
          <w:rFonts w:ascii="Times New Roman" w:hAnsi="Times New Roman"/>
        </w:rPr>
        <w:t xml:space="preserve">plas till en bestämd aktivitet </w:t>
      </w:r>
      <w:r w:rsidR="00190C41" w:rsidRPr="00054F15">
        <w:rPr>
          <w:rFonts w:ascii="Times New Roman" w:hAnsi="Times New Roman"/>
        </w:rPr>
        <w:t>utan är gemensam fö</w:t>
      </w:r>
      <w:r w:rsidR="00054F15" w:rsidRPr="00054F15">
        <w:rPr>
          <w:rFonts w:ascii="Times New Roman" w:hAnsi="Times New Roman"/>
        </w:rPr>
        <w:t xml:space="preserve">r </w:t>
      </w:r>
      <w:r w:rsidR="00190C41">
        <w:rPr>
          <w:rFonts w:ascii="Times New Roman" w:hAnsi="Times New Roman"/>
        </w:rPr>
        <w:t>flera</w:t>
      </w:r>
      <w:r w:rsidR="00054F15" w:rsidRPr="00054F15">
        <w:rPr>
          <w:rFonts w:ascii="Times New Roman" w:hAnsi="Times New Roman"/>
        </w:rPr>
        <w:t xml:space="preserve"> eller </w:t>
      </w:r>
      <w:r w:rsidR="00190C41">
        <w:rPr>
          <w:rFonts w:ascii="Times New Roman" w:hAnsi="Times New Roman"/>
        </w:rPr>
        <w:t>samtliga</w:t>
      </w:r>
      <w:r w:rsidR="00054F15" w:rsidRPr="00054F15">
        <w:rPr>
          <w:rFonts w:ascii="Times New Roman" w:hAnsi="Times New Roman"/>
        </w:rPr>
        <w:t xml:space="preserve"> aktiviteter. </w:t>
      </w:r>
      <w:r w:rsidR="00190C41" w:rsidRPr="00054F15">
        <w:rPr>
          <w:rFonts w:ascii="Times New Roman" w:hAnsi="Times New Roman"/>
        </w:rPr>
        <w:t>Exempel på indirekta kostnader är gemensam administration (stödverksamhet)</w:t>
      </w:r>
      <w:r w:rsidR="00054F15" w:rsidRPr="00054F15">
        <w:rPr>
          <w:rFonts w:ascii="Times New Roman" w:hAnsi="Times New Roman"/>
        </w:rPr>
        <w:t xml:space="preserve">. </w:t>
      </w:r>
    </w:p>
    <w:p w14:paraId="0B92FEFC" w14:textId="77777777" w:rsidR="00190C41" w:rsidRPr="00054F15" w:rsidRDefault="00054F15" w:rsidP="00054F15">
      <w:pPr>
        <w:ind w:left="2608"/>
        <w:jc w:val="both"/>
        <w:rPr>
          <w:rFonts w:ascii="Times New Roman" w:hAnsi="Times New Roman"/>
        </w:rPr>
      </w:pPr>
      <w:r w:rsidRPr="00054F15">
        <w:rPr>
          <w:rFonts w:ascii="Times New Roman" w:hAnsi="Times New Roman"/>
        </w:rPr>
        <w:t>Indirekta kostnader f</w:t>
      </w:r>
      <w:r w:rsidR="00190C41" w:rsidRPr="00054F15">
        <w:rPr>
          <w:rFonts w:ascii="Times New Roman" w:hAnsi="Times New Roman"/>
        </w:rPr>
        <w:t>ördelas till kärnverksamhet via en fördelningsnyckel</w:t>
      </w:r>
      <w:r w:rsidR="00C71FC8">
        <w:rPr>
          <w:rFonts w:ascii="Times New Roman" w:hAnsi="Times New Roman"/>
        </w:rPr>
        <w:t>.</w:t>
      </w:r>
    </w:p>
    <w:p w14:paraId="214CBD40" w14:textId="77777777" w:rsidR="00054F15" w:rsidRPr="00680BBA" w:rsidRDefault="00DC1913" w:rsidP="00054F15">
      <w:pPr>
        <w:jc w:val="both"/>
        <w:rPr>
          <w:rFonts w:ascii="Times New Roman" w:hAnsi="Times New Roman"/>
        </w:rPr>
      </w:pPr>
      <w:r>
        <w:rPr>
          <w:rFonts w:ascii="Times New Roman" w:hAnsi="Times New Roman"/>
        </w:rPr>
        <w:t>En översyn av Mittuniversitetets kostnader har gjorts för enhetlig klassificering av kostnader enligt ovan.</w:t>
      </w:r>
      <w:r w:rsidR="006F490F">
        <w:rPr>
          <w:rFonts w:ascii="Times New Roman" w:hAnsi="Times New Roman"/>
        </w:rPr>
        <w:t xml:space="preserve"> </w:t>
      </w:r>
    </w:p>
    <w:p w14:paraId="18050077" w14:textId="77777777" w:rsidR="00D90FE5" w:rsidRDefault="00D90FE5" w:rsidP="00D90FE5">
      <w:pPr>
        <w:pStyle w:val="Rubrik2"/>
        <w:numPr>
          <w:ilvl w:val="1"/>
          <w:numId w:val="1"/>
        </w:numPr>
        <w:tabs>
          <w:tab w:val="left" w:pos="540"/>
        </w:tabs>
        <w:rPr>
          <w:rFonts w:ascii="Times New Roman" w:hAnsi="Times New Roman" w:cs="Times New Roman"/>
          <w:i w:val="0"/>
        </w:rPr>
      </w:pPr>
      <w:r>
        <w:rPr>
          <w:rFonts w:ascii="Times New Roman" w:hAnsi="Times New Roman" w:cs="Times New Roman"/>
          <w:i w:val="0"/>
        </w:rPr>
        <w:lastRenderedPageBreak/>
        <w:t xml:space="preserve"> </w:t>
      </w:r>
      <w:bookmarkStart w:id="3" w:name="_Toc58848003"/>
      <w:r>
        <w:rPr>
          <w:rFonts w:ascii="Times New Roman" w:hAnsi="Times New Roman" w:cs="Times New Roman"/>
          <w:i w:val="0"/>
        </w:rPr>
        <w:t>Kort om modellen</w:t>
      </w:r>
      <w:bookmarkEnd w:id="3"/>
      <w:r w:rsidR="000B7F57">
        <w:rPr>
          <w:rFonts w:ascii="Times New Roman" w:hAnsi="Times New Roman" w:cs="Times New Roman"/>
          <w:i w:val="0"/>
        </w:rPr>
        <w:t xml:space="preserve"> </w:t>
      </w:r>
    </w:p>
    <w:p w14:paraId="12EFA243" w14:textId="77777777" w:rsidR="003D51F2" w:rsidRDefault="00B91F14" w:rsidP="00D90FE5">
      <w:pPr>
        <w:rPr>
          <w:rFonts w:ascii="Times New Roman" w:hAnsi="Times New Roman"/>
          <w:lang w:eastAsia="sv-SE"/>
        </w:rPr>
      </w:pPr>
      <w:r>
        <w:rPr>
          <w:rFonts w:ascii="Times New Roman" w:hAnsi="Times New Roman"/>
          <w:lang w:eastAsia="sv-SE"/>
        </w:rPr>
        <w:t>Re</w:t>
      </w:r>
      <w:r w:rsidR="00AC27A3">
        <w:rPr>
          <w:rFonts w:ascii="Times New Roman" w:hAnsi="Times New Roman"/>
          <w:lang w:eastAsia="sv-SE"/>
        </w:rPr>
        <w:t>dovisningsm</w:t>
      </w:r>
      <w:r w:rsidR="00F87E10">
        <w:rPr>
          <w:rFonts w:ascii="Times New Roman" w:hAnsi="Times New Roman"/>
          <w:lang w:eastAsia="sv-SE"/>
        </w:rPr>
        <w:t>odellen innebär i korthet</w:t>
      </w:r>
      <w:r w:rsidR="00D90FE5">
        <w:rPr>
          <w:rFonts w:ascii="Times New Roman" w:hAnsi="Times New Roman"/>
          <w:lang w:eastAsia="sv-SE"/>
        </w:rPr>
        <w:t xml:space="preserve"> att kostnaderna </w:t>
      </w:r>
      <w:r w:rsidR="00DC1913">
        <w:rPr>
          <w:rFonts w:ascii="Times New Roman" w:hAnsi="Times New Roman"/>
          <w:lang w:eastAsia="sv-SE"/>
        </w:rPr>
        <w:t xml:space="preserve">uppdelas </w:t>
      </w:r>
      <w:r w:rsidR="00D90FE5">
        <w:rPr>
          <w:rFonts w:ascii="Times New Roman" w:hAnsi="Times New Roman"/>
          <w:lang w:eastAsia="sv-SE"/>
        </w:rPr>
        <w:t xml:space="preserve">efter var </w:t>
      </w:r>
      <w:r w:rsidR="00DC1913">
        <w:rPr>
          <w:rFonts w:ascii="Times New Roman" w:hAnsi="Times New Roman"/>
          <w:lang w:eastAsia="sv-SE"/>
        </w:rPr>
        <w:t>de</w:t>
      </w:r>
      <w:r w:rsidR="00D90FE5">
        <w:rPr>
          <w:rFonts w:ascii="Times New Roman" w:hAnsi="Times New Roman"/>
          <w:lang w:eastAsia="sv-SE"/>
        </w:rPr>
        <w:t xml:space="preserve"> genereras</w:t>
      </w:r>
      <w:r w:rsidR="00DC1913">
        <w:rPr>
          <w:rFonts w:ascii="Times New Roman" w:hAnsi="Times New Roman"/>
          <w:lang w:eastAsia="sv-SE"/>
        </w:rPr>
        <w:t xml:space="preserve"> samt hur de finansieras</w:t>
      </w:r>
      <w:r w:rsidR="00D90FE5">
        <w:rPr>
          <w:rFonts w:ascii="Times New Roman" w:hAnsi="Times New Roman"/>
          <w:lang w:eastAsia="sv-SE"/>
        </w:rPr>
        <w:t xml:space="preserve">. Kostnader inom </w:t>
      </w:r>
      <w:r w:rsidR="00D90FE5" w:rsidRPr="00133084">
        <w:rPr>
          <w:rFonts w:ascii="Times New Roman" w:hAnsi="Times New Roman"/>
          <w:i/>
          <w:lang w:eastAsia="sv-SE"/>
        </w:rPr>
        <w:t>kärnverksamhet</w:t>
      </w:r>
      <w:r w:rsidR="00D90FE5">
        <w:rPr>
          <w:rFonts w:ascii="Times New Roman" w:hAnsi="Times New Roman"/>
          <w:lang w:eastAsia="sv-SE"/>
        </w:rPr>
        <w:t xml:space="preserve"> har direkt koppling till de aktiviteter (utbildning och forskning) som genomförs och skall därför bokföras direkt i denna verksamhet på t ex projekt eller ämnen.</w:t>
      </w:r>
      <w:r w:rsidR="004A426A">
        <w:rPr>
          <w:rFonts w:ascii="Times New Roman" w:hAnsi="Times New Roman"/>
          <w:lang w:eastAsia="sv-SE"/>
        </w:rPr>
        <w:t xml:space="preserve"> Kostnader inom </w:t>
      </w:r>
      <w:r w:rsidR="004A426A" w:rsidRPr="004A426A">
        <w:rPr>
          <w:rFonts w:ascii="Times New Roman" w:hAnsi="Times New Roman"/>
          <w:i/>
          <w:lang w:eastAsia="sv-SE"/>
        </w:rPr>
        <w:t>kärnverksamheten</w:t>
      </w:r>
      <w:r w:rsidR="004A426A">
        <w:rPr>
          <w:rFonts w:ascii="Times New Roman" w:hAnsi="Times New Roman"/>
          <w:lang w:eastAsia="sv-SE"/>
        </w:rPr>
        <w:t xml:space="preserve"> finansieras av anslag alternativt av externa bidrag eller avgifter för uppdrag.</w:t>
      </w:r>
      <w:r w:rsidR="00355376">
        <w:rPr>
          <w:rFonts w:ascii="Times New Roman" w:hAnsi="Times New Roman"/>
          <w:lang w:eastAsia="sv-SE"/>
        </w:rPr>
        <w:t xml:space="preserve"> </w:t>
      </w:r>
      <w:r w:rsidR="000246D8">
        <w:rPr>
          <w:rFonts w:ascii="Times New Roman" w:hAnsi="Times New Roman"/>
          <w:lang w:eastAsia="sv-SE"/>
        </w:rPr>
        <w:t>Kärnverksamhet bedrivs främst inom fakulteter på</w:t>
      </w:r>
      <w:r w:rsidR="000246D8" w:rsidRPr="00CE3D7F">
        <w:rPr>
          <w:rFonts w:ascii="Times New Roman" w:hAnsi="Times New Roman"/>
          <w:lang w:eastAsia="sv-SE"/>
        </w:rPr>
        <w:t xml:space="preserve"> </w:t>
      </w:r>
      <w:r w:rsidR="0077168E" w:rsidRPr="00CE3D7F">
        <w:rPr>
          <w:rFonts w:ascii="Times New Roman" w:hAnsi="Times New Roman"/>
          <w:lang w:eastAsia="sv-SE"/>
        </w:rPr>
        <w:t>institution</w:t>
      </w:r>
      <w:r w:rsidR="000246D8" w:rsidRPr="00CE3D7F">
        <w:rPr>
          <w:rFonts w:ascii="Times New Roman" w:hAnsi="Times New Roman"/>
          <w:lang w:eastAsia="sv-SE"/>
        </w:rPr>
        <w:t>snivå</w:t>
      </w:r>
      <w:r w:rsidR="000246D8">
        <w:rPr>
          <w:rFonts w:ascii="Times New Roman" w:hAnsi="Times New Roman"/>
          <w:lang w:eastAsia="sv-SE"/>
        </w:rPr>
        <w:t>, men inom förvaltning</w:t>
      </w:r>
      <w:r w:rsidR="001136BF">
        <w:rPr>
          <w:rFonts w:ascii="Times New Roman" w:hAnsi="Times New Roman"/>
          <w:lang w:eastAsia="sv-SE"/>
        </w:rPr>
        <w:t xml:space="preserve">en </w:t>
      </w:r>
      <w:r w:rsidR="00264802">
        <w:rPr>
          <w:rFonts w:ascii="Times New Roman" w:hAnsi="Times New Roman"/>
          <w:lang w:eastAsia="sv-SE"/>
        </w:rPr>
        <w:t xml:space="preserve">finns även </w:t>
      </w:r>
      <w:r w:rsidR="000246D8">
        <w:rPr>
          <w:rFonts w:ascii="Times New Roman" w:hAnsi="Times New Roman"/>
          <w:lang w:eastAsia="sv-SE"/>
        </w:rPr>
        <w:t xml:space="preserve">externfinansierad </w:t>
      </w:r>
      <w:r w:rsidR="009E74B5">
        <w:rPr>
          <w:rFonts w:ascii="Times New Roman" w:hAnsi="Times New Roman"/>
          <w:lang w:eastAsia="sv-SE"/>
        </w:rPr>
        <w:t>projekt</w:t>
      </w:r>
      <w:r w:rsidR="00264802">
        <w:rPr>
          <w:rFonts w:ascii="Times New Roman" w:hAnsi="Times New Roman"/>
          <w:lang w:eastAsia="sv-SE"/>
        </w:rPr>
        <w:t xml:space="preserve">verksamhet </w:t>
      </w:r>
      <w:r w:rsidR="000246D8">
        <w:rPr>
          <w:rFonts w:ascii="Times New Roman" w:hAnsi="Times New Roman"/>
          <w:lang w:eastAsia="sv-SE"/>
        </w:rPr>
        <w:t>som i detta sammanhang inräknas i kärnverksamhet.</w:t>
      </w:r>
    </w:p>
    <w:p w14:paraId="34EBF913" w14:textId="77777777" w:rsidR="003E6675" w:rsidRDefault="003E6675" w:rsidP="003E6675">
      <w:pPr>
        <w:rPr>
          <w:rFonts w:ascii="Times New Roman" w:hAnsi="Times New Roman"/>
          <w:lang w:eastAsia="sv-SE"/>
        </w:rPr>
      </w:pPr>
      <w:r>
        <w:rPr>
          <w:rFonts w:ascii="Times New Roman" w:hAnsi="Times New Roman"/>
          <w:lang w:eastAsia="sv-SE"/>
        </w:rPr>
        <w:t xml:space="preserve">Kostnader inom </w:t>
      </w:r>
      <w:r w:rsidRPr="00133084">
        <w:rPr>
          <w:rFonts w:ascii="Times New Roman" w:hAnsi="Times New Roman"/>
          <w:i/>
          <w:lang w:eastAsia="sv-SE"/>
        </w:rPr>
        <w:t>stödverksamhet</w:t>
      </w:r>
      <w:r>
        <w:rPr>
          <w:rFonts w:ascii="Times New Roman" w:hAnsi="Times New Roman"/>
          <w:lang w:eastAsia="sv-SE"/>
        </w:rPr>
        <w:t xml:space="preserve"> är gemensamma för flera aktiviteter och skall på ett enhetligt sätt fördelas på kärnverksamheten. Inom Mittuniversitetet finns stödverksamhet på samtliga organisatoriska nivåer men samlas och grupperas i den ekonomiska redovisningen i två nivåer. Det är </w:t>
      </w:r>
      <w:r w:rsidRPr="00A22B2F">
        <w:rPr>
          <w:rFonts w:ascii="Times New Roman" w:hAnsi="Times New Roman"/>
          <w:i/>
          <w:iCs/>
          <w:lang w:eastAsia="sv-SE"/>
        </w:rPr>
        <w:t>universitetsgemensam nivå</w:t>
      </w:r>
      <w:r>
        <w:rPr>
          <w:rFonts w:ascii="Times New Roman" w:hAnsi="Times New Roman"/>
          <w:lang w:eastAsia="sv-SE"/>
        </w:rPr>
        <w:t xml:space="preserve"> som inkluderar gemensamma kostnader för förvaltning, universitetsledning, styrelse, idrottsakademi samt internrevision samt </w:t>
      </w:r>
      <w:r w:rsidRPr="00A22B2F">
        <w:rPr>
          <w:rFonts w:ascii="Times New Roman" w:hAnsi="Times New Roman"/>
          <w:i/>
          <w:iCs/>
          <w:lang w:eastAsia="sv-SE"/>
        </w:rPr>
        <w:t>fakultetsgemensam nivå som</w:t>
      </w:r>
      <w:r>
        <w:rPr>
          <w:rFonts w:ascii="Times New Roman" w:hAnsi="Times New Roman"/>
          <w:lang w:eastAsia="sv-SE"/>
        </w:rPr>
        <w:t xml:space="preserve"> motsvarar gemensam administration inom fakulteter och dess institutioner. </w:t>
      </w:r>
    </w:p>
    <w:p w14:paraId="77AA90B3" w14:textId="0329C88E" w:rsidR="00F51365" w:rsidRDefault="003E6675" w:rsidP="00F51365">
      <w:pPr>
        <w:rPr>
          <w:rFonts w:ascii="Times New Roman" w:hAnsi="Times New Roman"/>
          <w:lang w:eastAsia="sv-SE"/>
        </w:rPr>
      </w:pPr>
      <w:r>
        <w:rPr>
          <w:rFonts w:ascii="Times New Roman" w:hAnsi="Times New Roman"/>
          <w:lang w:eastAsia="sv-SE"/>
        </w:rPr>
        <w:t xml:space="preserve"> Kostnaderna för universitetsgemensam verksamhet fördelas med månadsbelopp till fakultetsgemensam nivå.</w:t>
      </w:r>
      <w:r w:rsidR="00F51365">
        <w:rPr>
          <w:rFonts w:ascii="Times New Roman" w:hAnsi="Times New Roman"/>
          <w:lang w:eastAsia="sv-SE"/>
        </w:rPr>
        <w:t xml:space="preserve"> Fakultetens totala kostnad för </w:t>
      </w:r>
      <w:r w:rsidR="00F51365" w:rsidRPr="000F25FF">
        <w:rPr>
          <w:rFonts w:ascii="Times New Roman" w:hAnsi="Times New Roman"/>
          <w:i/>
          <w:lang w:eastAsia="sv-SE"/>
        </w:rPr>
        <w:t>all</w:t>
      </w:r>
      <w:r w:rsidR="007B4341">
        <w:rPr>
          <w:rFonts w:ascii="Times New Roman" w:hAnsi="Times New Roman"/>
          <w:lang w:eastAsia="sv-SE"/>
        </w:rPr>
        <w:t xml:space="preserve"> </w:t>
      </w:r>
      <w:r w:rsidR="00F51365">
        <w:rPr>
          <w:rFonts w:ascii="Times New Roman" w:hAnsi="Times New Roman"/>
          <w:lang w:eastAsia="sv-SE"/>
        </w:rPr>
        <w:t xml:space="preserve">stödverksamhet </w:t>
      </w:r>
      <w:r w:rsidR="007B4341">
        <w:rPr>
          <w:rFonts w:ascii="Times New Roman" w:hAnsi="Times New Roman"/>
          <w:lang w:eastAsia="sv-SE"/>
        </w:rPr>
        <w:t xml:space="preserve">för samtliga nivåer </w:t>
      </w:r>
      <w:r w:rsidR="00E46C3E">
        <w:rPr>
          <w:rFonts w:ascii="Times New Roman" w:hAnsi="Times New Roman"/>
          <w:lang w:eastAsia="sv-SE"/>
        </w:rPr>
        <w:t xml:space="preserve">fördelas </w:t>
      </w:r>
      <w:r w:rsidR="00F51365">
        <w:rPr>
          <w:rFonts w:ascii="Times New Roman" w:hAnsi="Times New Roman"/>
          <w:lang w:eastAsia="sv-SE"/>
        </w:rPr>
        <w:t>sedan ut på samtliga kostnadsbärare</w:t>
      </w:r>
      <w:r w:rsidR="00E46C3E">
        <w:rPr>
          <w:rFonts w:ascii="Times New Roman" w:hAnsi="Times New Roman"/>
          <w:lang w:eastAsia="sv-SE"/>
        </w:rPr>
        <w:t>/aktiviteter</w:t>
      </w:r>
      <w:r w:rsidR="00F51365">
        <w:rPr>
          <w:rFonts w:ascii="Times New Roman" w:hAnsi="Times New Roman"/>
          <w:lang w:eastAsia="sv-SE"/>
        </w:rPr>
        <w:t xml:space="preserve"> inom kärnverksamheten. Redovisningsmodell innebär därmed att samtliga finansiärer inom utbildning och forskning på ett rättvist sätt finansierar sin andel av stödverksamhetens kostnader. </w:t>
      </w:r>
    </w:p>
    <w:p w14:paraId="657E2447" w14:textId="77777777" w:rsidR="003D51F2" w:rsidRDefault="00070866" w:rsidP="00D90FE5">
      <w:pPr>
        <w:rPr>
          <w:rFonts w:ascii="Times New Roman" w:hAnsi="Times New Roman"/>
          <w:lang w:eastAsia="sv-SE"/>
        </w:rPr>
      </w:pPr>
      <w:r>
        <w:rPr>
          <w:rFonts w:ascii="Times New Roman" w:hAnsi="Times New Roman"/>
          <w:lang w:eastAsia="sv-SE"/>
        </w:rPr>
        <w:t xml:space="preserve">Enligt </w:t>
      </w:r>
      <w:proofErr w:type="spellStart"/>
      <w:r>
        <w:rPr>
          <w:rFonts w:ascii="Times New Roman" w:hAnsi="Times New Roman"/>
          <w:lang w:eastAsia="sv-SE"/>
        </w:rPr>
        <w:t>SUHF´s</w:t>
      </w:r>
      <w:proofErr w:type="spellEnd"/>
      <w:r>
        <w:rPr>
          <w:rFonts w:ascii="Times New Roman" w:hAnsi="Times New Roman"/>
          <w:lang w:eastAsia="sv-SE"/>
        </w:rPr>
        <w:t xml:space="preserve"> rekommenderade modell kan även vissa </w:t>
      </w:r>
      <w:r w:rsidRPr="00E35C7F">
        <w:rPr>
          <w:rFonts w:ascii="Times New Roman" w:hAnsi="Times New Roman"/>
          <w:i/>
          <w:lang w:eastAsia="sv-SE"/>
        </w:rPr>
        <w:t>direkta</w:t>
      </w:r>
      <w:r>
        <w:rPr>
          <w:rFonts w:ascii="Times New Roman" w:hAnsi="Times New Roman"/>
          <w:lang w:eastAsia="sv-SE"/>
        </w:rPr>
        <w:t xml:space="preserve"> kostnader </w:t>
      </w:r>
      <w:r w:rsidR="00B56F61">
        <w:rPr>
          <w:rFonts w:ascii="Times New Roman" w:hAnsi="Times New Roman"/>
          <w:lang w:eastAsia="sv-SE"/>
        </w:rPr>
        <w:t xml:space="preserve">adderas till de </w:t>
      </w:r>
      <w:r>
        <w:rPr>
          <w:rFonts w:ascii="Times New Roman" w:hAnsi="Times New Roman"/>
          <w:lang w:eastAsia="sv-SE"/>
        </w:rPr>
        <w:t xml:space="preserve">indirekta </w:t>
      </w:r>
      <w:r w:rsidR="00B56F61">
        <w:rPr>
          <w:rFonts w:ascii="Times New Roman" w:hAnsi="Times New Roman"/>
          <w:lang w:eastAsia="sv-SE"/>
        </w:rPr>
        <w:t>kostnaderna</w:t>
      </w:r>
      <w:r>
        <w:rPr>
          <w:rFonts w:ascii="Times New Roman" w:hAnsi="Times New Roman"/>
          <w:lang w:eastAsia="sv-SE"/>
        </w:rPr>
        <w:t xml:space="preserve"> </w:t>
      </w:r>
      <w:r w:rsidR="00B56F61">
        <w:rPr>
          <w:rFonts w:ascii="Times New Roman" w:hAnsi="Times New Roman"/>
          <w:lang w:eastAsia="sv-SE"/>
        </w:rPr>
        <w:t xml:space="preserve">för en förenklad fördelningsmodell per aktivitet. </w:t>
      </w:r>
      <w:r>
        <w:rPr>
          <w:rFonts w:ascii="Times New Roman" w:hAnsi="Times New Roman"/>
          <w:lang w:eastAsia="sv-SE"/>
        </w:rPr>
        <w:t xml:space="preserve"> </w:t>
      </w:r>
      <w:r w:rsidR="003D51F2">
        <w:rPr>
          <w:rFonts w:ascii="Times New Roman" w:hAnsi="Times New Roman"/>
          <w:lang w:eastAsia="sv-SE"/>
        </w:rPr>
        <w:t xml:space="preserve"> </w:t>
      </w:r>
      <w:r w:rsidR="00B56F61">
        <w:rPr>
          <w:rFonts w:ascii="Times New Roman" w:hAnsi="Times New Roman"/>
          <w:lang w:eastAsia="sv-SE"/>
        </w:rPr>
        <w:t>Exempel på detta är</w:t>
      </w:r>
      <w:r w:rsidR="003D51F2">
        <w:rPr>
          <w:rFonts w:ascii="Times New Roman" w:hAnsi="Times New Roman"/>
          <w:lang w:eastAsia="sv-SE"/>
        </w:rPr>
        <w:t xml:space="preserve"> telefoni, kontorsmaterial samt huvuddelen av porto- och kopieringskostnader vilka adderas till kostnader för gemensam stödverksamhet och fördelas via fördelningsnyckel på kärnverksamheten. </w:t>
      </w:r>
      <w:r w:rsidR="00B56F61">
        <w:rPr>
          <w:rFonts w:ascii="Times New Roman" w:hAnsi="Times New Roman"/>
          <w:lang w:eastAsia="sv-SE"/>
        </w:rPr>
        <w:t xml:space="preserve">Även inom anslagsfinansierad grundutbildning finns direkta kostnader som inräknas i påslaget för grundutbildning </w:t>
      </w:r>
      <w:r w:rsidR="0042543C">
        <w:rPr>
          <w:rFonts w:ascii="Times New Roman" w:hAnsi="Times New Roman"/>
          <w:lang w:eastAsia="sv-SE"/>
        </w:rPr>
        <w:t xml:space="preserve">för </w:t>
      </w:r>
      <w:r w:rsidR="00B56F61">
        <w:rPr>
          <w:rFonts w:ascii="Times New Roman" w:hAnsi="Times New Roman"/>
          <w:lang w:eastAsia="sv-SE"/>
        </w:rPr>
        <w:t xml:space="preserve">att förenkla administrationen med fördelning per ämne. </w:t>
      </w:r>
      <w:r w:rsidR="00CB6FE0">
        <w:rPr>
          <w:rFonts w:ascii="Times New Roman" w:hAnsi="Times New Roman"/>
          <w:lang w:eastAsia="sv-SE"/>
        </w:rPr>
        <w:t xml:space="preserve">Inom Mittuniversitetet har </w:t>
      </w:r>
      <w:r w:rsidR="00C14ACD">
        <w:rPr>
          <w:rFonts w:ascii="Times New Roman" w:hAnsi="Times New Roman"/>
          <w:lang w:eastAsia="sv-SE"/>
        </w:rPr>
        <w:t xml:space="preserve">även </w:t>
      </w:r>
      <w:r w:rsidR="00CB6FE0">
        <w:rPr>
          <w:rFonts w:ascii="Times New Roman" w:hAnsi="Times New Roman"/>
          <w:lang w:eastAsia="sv-SE"/>
        </w:rPr>
        <w:t xml:space="preserve">vissa </w:t>
      </w:r>
      <w:r w:rsidR="00C14ACD">
        <w:rPr>
          <w:rFonts w:ascii="Times New Roman" w:hAnsi="Times New Roman"/>
          <w:lang w:eastAsia="sv-SE"/>
        </w:rPr>
        <w:t>ytterligare</w:t>
      </w:r>
      <w:r w:rsidR="00CB6FE0">
        <w:rPr>
          <w:rFonts w:ascii="Times New Roman" w:hAnsi="Times New Roman"/>
          <w:lang w:eastAsia="sv-SE"/>
        </w:rPr>
        <w:t xml:space="preserve"> direkta kostnader</w:t>
      </w:r>
      <w:r w:rsidR="00C14ACD">
        <w:rPr>
          <w:rFonts w:ascii="Times New Roman" w:hAnsi="Times New Roman"/>
          <w:lang w:eastAsia="sv-SE"/>
        </w:rPr>
        <w:t xml:space="preserve">, </w:t>
      </w:r>
      <w:r w:rsidR="00CB6FE0">
        <w:rPr>
          <w:rFonts w:ascii="Times New Roman" w:hAnsi="Times New Roman"/>
          <w:lang w:eastAsia="sv-SE"/>
        </w:rPr>
        <w:t>såsom exempelvis samtliga kostnader för mobiltelefoni och Campusresor</w:t>
      </w:r>
      <w:r w:rsidR="00C14ACD">
        <w:rPr>
          <w:rFonts w:ascii="Times New Roman" w:hAnsi="Times New Roman"/>
          <w:lang w:eastAsia="sv-SE"/>
        </w:rPr>
        <w:t xml:space="preserve"> samt datasalar</w:t>
      </w:r>
      <w:r w:rsidR="00CB6FE0">
        <w:rPr>
          <w:rFonts w:ascii="Times New Roman" w:hAnsi="Times New Roman"/>
          <w:lang w:eastAsia="sv-SE"/>
        </w:rPr>
        <w:t xml:space="preserve">, </w:t>
      </w:r>
      <w:r w:rsidR="00C14ACD">
        <w:rPr>
          <w:rFonts w:ascii="Times New Roman" w:hAnsi="Times New Roman"/>
          <w:lang w:eastAsia="sv-SE"/>
        </w:rPr>
        <w:t xml:space="preserve">adderats </w:t>
      </w:r>
      <w:r w:rsidR="00CB6FE0">
        <w:rPr>
          <w:rFonts w:ascii="Times New Roman" w:hAnsi="Times New Roman"/>
          <w:lang w:eastAsia="sv-SE"/>
        </w:rPr>
        <w:t>till de indirekta kostnaderna för en förenklad, schablonmässig utfördelning av kostnad per aktivitet/kostnadsbärare.</w:t>
      </w:r>
    </w:p>
    <w:p w14:paraId="33429E5F" w14:textId="77777777" w:rsidR="00734D20" w:rsidRPr="004C2E64" w:rsidRDefault="00734D20" w:rsidP="00734D20">
      <w:pPr>
        <w:rPr>
          <w:rFonts w:ascii="Times New Roman" w:hAnsi="Times New Roman"/>
          <w:lang w:eastAsia="sv-SE"/>
        </w:rPr>
      </w:pPr>
      <w:r w:rsidRPr="004C2E64">
        <w:rPr>
          <w:rFonts w:ascii="Times New Roman" w:hAnsi="Times New Roman"/>
          <w:lang w:eastAsia="sv-SE"/>
        </w:rPr>
        <w:t xml:space="preserve">I november 2020 reviderades </w:t>
      </w:r>
      <w:proofErr w:type="spellStart"/>
      <w:r w:rsidRPr="004C2E64">
        <w:rPr>
          <w:rFonts w:ascii="Times New Roman" w:hAnsi="Times New Roman"/>
          <w:lang w:eastAsia="sv-SE"/>
        </w:rPr>
        <w:t>SUHFs</w:t>
      </w:r>
      <w:proofErr w:type="spellEnd"/>
      <w:r w:rsidRPr="004C2E64">
        <w:rPr>
          <w:rFonts w:ascii="Times New Roman" w:hAnsi="Times New Roman"/>
          <w:lang w:eastAsia="sv-SE"/>
        </w:rPr>
        <w:t xml:space="preserve"> rekommendationer och ett nytt avsnitt har lagts till gällande handel mellan lärosäten. Lärosäten som tillämpar den alternativa fördelningsbasen där driftkostnader ingår, rekommenderas att från sin fördelningsbas exkludera driftkostnader som avser köp från annat svenskt lärosäte. Säljande lärosäte förutsätts fakturera såväl direkta som indirekta kostnader.</w:t>
      </w:r>
      <w:r w:rsidR="001E569E" w:rsidRPr="004C2E64">
        <w:rPr>
          <w:rFonts w:ascii="Times New Roman" w:hAnsi="Times New Roman"/>
          <w:lang w:eastAsia="sv-SE"/>
        </w:rPr>
        <w:t xml:space="preserve"> Avser samtliga lärosäten även icke statliga.</w:t>
      </w:r>
    </w:p>
    <w:p w14:paraId="1DC26F8A" w14:textId="77777777" w:rsidR="00DF3B48" w:rsidRDefault="00DF3B48" w:rsidP="00D90FE5">
      <w:pPr>
        <w:rPr>
          <w:rFonts w:ascii="Times New Roman" w:hAnsi="Times New Roman"/>
          <w:lang w:eastAsia="sv-SE"/>
        </w:rPr>
      </w:pPr>
      <w:r>
        <w:rPr>
          <w:rFonts w:ascii="Times New Roman" w:hAnsi="Times New Roman"/>
          <w:lang w:eastAsia="sv-SE"/>
        </w:rPr>
        <w:t>I vissa fall kan viss typ av administrationen vara unik för ett projekt och direktdebiteras därmed – där så är möjligt. Se vidare i avsnitt 5.</w:t>
      </w:r>
    </w:p>
    <w:p w14:paraId="473DD07B" w14:textId="77777777" w:rsidR="006B669A" w:rsidRPr="00263881" w:rsidRDefault="006B669A" w:rsidP="00263881">
      <w:pPr>
        <w:pStyle w:val="Rubrik3"/>
        <w:rPr>
          <w:rFonts w:ascii="Times New Roman" w:hAnsi="Times New Roman" w:cs="Times New Roman"/>
        </w:rPr>
      </w:pPr>
      <w:bookmarkStart w:id="4" w:name="_Toc58848004"/>
      <w:r w:rsidRPr="00263881">
        <w:rPr>
          <w:rFonts w:ascii="Times New Roman" w:hAnsi="Times New Roman" w:cs="Times New Roman"/>
        </w:rPr>
        <w:t>2</w:t>
      </w:r>
      <w:r w:rsidR="00AC27A3" w:rsidRPr="00263881">
        <w:rPr>
          <w:rFonts w:ascii="Times New Roman" w:hAnsi="Times New Roman" w:cs="Times New Roman"/>
        </w:rPr>
        <w:t>.2</w:t>
      </w:r>
      <w:r w:rsidRPr="00263881">
        <w:rPr>
          <w:rFonts w:ascii="Times New Roman" w:hAnsi="Times New Roman" w:cs="Times New Roman"/>
        </w:rPr>
        <w:t>.1</w:t>
      </w:r>
      <w:r w:rsidRPr="00263881">
        <w:rPr>
          <w:rFonts w:ascii="Times New Roman" w:hAnsi="Times New Roman" w:cs="Times New Roman"/>
        </w:rPr>
        <w:tab/>
        <w:t>Procentuellt påslag på direkt lön</w:t>
      </w:r>
      <w:r w:rsidR="002C386E">
        <w:rPr>
          <w:rFonts w:ascii="Times New Roman" w:hAnsi="Times New Roman" w:cs="Times New Roman"/>
        </w:rPr>
        <w:t xml:space="preserve"> samt direkt lön och konsulter</w:t>
      </w:r>
      <w:bookmarkEnd w:id="4"/>
    </w:p>
    <w:p w14:paraId="2973E63C" w14:textId="77777777" w:rsidR="002C386E" w:rsidRDefault="00E30843" w:rsidP="00D90FE5">
      <w:pPr>
        <w:rPr>
          <w:rFonts w:ascii="Times New Roman" w:hAnsi="Times New Roman"/>
          <w:lang w:eastAsia="sv-SE"/>
        </w:rPr>
      </w:pPr>
      <w:r>
        <w:rPr>
          <w:rFonts w:ascii="Times New Roman" w:hAnsi="Times New Roman"/>
          <w:lang w:eastAsia="sv-SE"/>
        </w:rPr>
        <w:t xml:space="preserve">Personalkostnader för forskning och undervisning utgör en stor del av kostnaderna inom kärnverksamheten och Mittuniversitetet har därför valt att fördela </w:t>
      </w:r>
      <w:r w:rsidR="004A426A">
        <w:rPr>
          <w:rFonts w:ascii="Times New Roman" w:hAnsi="Times New Roman"/>
          <w:lang w:eastAsia="sv-SE"/>
        </w:rPr>
        <w:t>stödverksamhetens</w:t>
      </w:r>
      <w:r w:rsidR="005D07E2">
        <w:rPr>
          <w:rFonts w:ascii="Times New Roman" w:hAnsi="Times New Roman"/>
          <w:lang w:eastAsia="sv-SE"/>
        </w:rPr>
        <w:t xml:space="preserve"> kostnader</w:t>
      </w:r>
      <w:r>
        <w:rPr>
          <w:rFonts w:ascii="Times New Roman" w:hAnsi="Times New Roman"/>
          <w:lang w:eastAsia="sv-SE"/>
        </w:rPr>
        <w:t xml:space="preserve"> på kärnverksamheten via ett procentpåslag på </w:t>
      </w:r>
      <w:r w:rsidRPr="002C386E">
        <w:rPr>
          <w:rFonts w:ascii="Times New Roman" w:hAnsi="Times New Roman"/>
          <w:i/>
          <w:lang w:eastAsia="sv-SE"/>
        </w:rPr>
        <w:t>direkta löner</w:t>
      </w:r>
      <w:r w:rsidR="00DE52A8">
        <w:rPr>
          <w:rFonts w:ascii="Times New Roman" w:hAnsi="Times New Roman"/>
          <w:lang w:eastAsia="sv-SE"/>
        </w:rPr>
        <w:t xml:space="preserve"> (konto 4000-4067)</w:t>
      </w:r>
      <w:r>
        <w:rPr>
          <w:rFonts w:ascii="Times New Roman" w:hAnsi="Times New Roman"/>
          <w:lang w:eastAsia="sv-SE"/>
        </w:rPr>
        <w:t xml:space="preserve"> </w:t>
      </w:r>
      <w:r w:rsidRPr="002C386E">
        <w:rPr>
          <w:rFonts w:ascii="Times New Roman" w:hAnsi="Times New Roman"/>
          <w:i/>
          <w:lang w:eastAsia="sv-SE"/>
        </w:rPr>
        <w:t>inom forskning</w:t>
      </w:r>
      <w:r>
        <w:rPr>
          <w:rFonts w:ascii="Times New Roman" w:hAnsi="Times New Roman"/>
          <w:lang w:eastAsia="sv-SE"/>
        </w:rPr>
        <w:t>.</w:t>
      </w:r>
      <w:r w:rsidR="002C386E">
        <w:rPr>
          <w:rFonts w:ascii="Times New Roman" w:hAnsi="Times New Roman"/>
          <w:lang w:eastAsia="sv-SE"/>
        </w:rPr>
        <w:t xml:space="preserve"> </w:t>
      </w:r>
    </w:p>
    <w:p w14:paraId="5E5466AF" w14:textId="7C3AE1EE" w:rsidR="00734D20" w:rsidRPr="004C2E64" w:rsidRDefault="002C386E" w:rsidP="00D90FE5">
      <w:pPr>
        <w:rPr>
          <w:rFonts w:ascii="Times New Roman" w:hAnsi="Times New Roman"/>
          <w:lang w:eastAsia="sv-SE"/>
        </w:rPr>
      </w:pPr>
      <w:r>
        <w:rPr>
          <w:rFonts w:ascii="Times New Roman" w:hAnsi="Times New Roman"/>
          <w:lang w:eastAsia="sv-SE"/>
        </w:rPr>
        <w:t>Inom utbildningsverksamheten förde</w:t>
      </w:r>
      <w:r w:rsidR="00555776">
        <w:rPr>
          <w:rFonts w:ascii="Times New Roman" w:hAnsi="Times New Roman"/>
          <w:lang w:eastAsia="sv-SE"/>
        </w:rPr>
        <w:t xml:space="preserve">las stödverksamhetens kostnader, från och med 2021, </w:t>
      </w:r>
      <w:r>
        <w:rPr>
          <w:rFonts w:ascii="Times New Roman" w:hAnsi="Times New Roman"/>
          <w:lang w:eastAsia="sv-SE"/>
        </w:rPr>
        <w:t xml:space="preserve">via ett procentuellt påslag på </w:t>
      </w:r>
      <w:r w:rsidRPr="002C386E">
        <w:rPr>
          <w:rFonts w:ascii="Times New Roman" w:hAnsi="Times New Roman"/>
          <w:i/>
          <w:lang w:eastAsia="sv-SE"/>
        </w:rPr>
        <w:t>direkta löner</w:t>
      </w:r>
      <w:r>
        <w:rPr>
          <w:rFonts w:ascii="Times New Roman" w:hAnsi="Times New Roman"/>
          <w:lang w:eastAsia="sv-SE"/>
        </w:rPr>
        <w:t xml:space="preserve"> (konto 4000-4067)</w:t>
      </w:r>
      <w:r>
        <w:rPr>
          <w:rFonts w:ascii="Times New Roman" w:hAnsi="Times New Roman"/>
          <w:i/>
          <w:lang w:eastAsia="sv-SE"/>
        </w:rPr>
        <w:t xml:space="preserve"> samt konsulter </w:t>
      </w:r>
      <w:r w:rsidRPr="002C386E">
        <w:rPr>
          <w:rFonts w:ascii="Times New Roman" w:hAnsi="Times New Roman"/>
          <w:lang w:eastAsia="sv-SE"/>
        </w:rPr>
        <w:t>(konto 5731-5732, 5781-5783</w:t>
      </w:r>
      <w:r>
        <w:rPr>
          <w:rFonts w:ascii="Times New Roman" w:hAnsi="Times New Roman"/>
          <w:i/>
          <w:lang w:eastAsia="sv-SE"/>
        </w:rPr>
        <w:t>)</w:t>
      </w:r>
      <w:r>
        <w:rPr>
          <w:rFonts w:ascii="Times New Roman" w:hAnsi="Times New Roman"/>
          <w:lang w:eastAsia="sv-SE"/>
        </w:rPr>
        <w:t xml:space="preserve">. </w:t>
      </w:r>
      <w:r w:rsidR="004C2E64">
        <w:rPr>
          <w:rFonts w:ascii="Times New Roman" w:hAnsi="Times New Roman"/>
          <w:lang w:eastAsia="sv-SE"/>
        </w:rPr>
        <w:lastRenderedPageBreak/>
        <w:t xml:space="preserve">Konsultkostnader, rent generellt, genererar behov av stödverksamheten samt </w:t>
      </w:r>
      <w:r>
        <w:rPr>
          <w:rFonts w:ascii="Times New Roman" w:hAnsi="Times New Roman"/>
          <w:lang w:eastAsia="sv-SE"/>
        </w:rPr>
        <w:t>konsulter</w:t>
      </w:r>
      <w:r w:rsidR="00CA3C16">
        <w:rPr>
          <w:rFonts w:ascii="Times New Roman" w:hAnsi="Times New Roman"/>
          <w:lang w:eastAsia="sv-SE"/>
        </w:rPr>
        <w:t xml:space="preserve"> inom utbildning ersätter egen personal i större omfattning än inom forskning</w:t>
      </w:r>
      <w:r>
        <w:rPr>
          <w:rFonts w:ascii="Times New Roman" w:hAnsi="Times New Roman"/>
          <w:lang w:eastAsia="sv-SE"/>
        </w:rPr>
        <w:t>.</w:t>
      </w:r>
      <w:r w:rsidR="00555776">
        <w:rPr>
          <w:rFonts w:ascii="Times New Roman" w:hAnsi="Times New Roman"/>
          <w:lang w:eastAsia="sv-SE"/>
        </w:rPr>
        <w:t xml:space="preserve"> </w:t>
      </w:r>
      <w:r w:rsidR="00734D20" w:rsidRPr="004C2E64">
        <w:rPr>
          <w:rFonts w:ascii="Times New Roman" w:hAnsi="Times New Roman"/>
          <w:lang w:eastAsia="sv-SE"/>
        </w:rPr>
        <w:t xml:space="preserve">Enligt </w:t>
      </w:r>
      <w:proofErr w:type="spellStart"/>
      <w:r w:rsidR="00734D20" w:rsidRPr="004C2E64">
        <w:rPr>
          <w:rFonts w:ascii="Times New Roman" w:hAnsi="Times New Roman"/>
          <w:lang w:eastAsia="sv-SE"/>
        </w:rPr>
        <w:t>SUHFs</w:t>
      </w:r>
      <w:proofErr w:type="spellEnd"/>
      <w:r w:rsidR="00734D20" w:rsidRPr="004C2E64">
        <w:rPr>
          <w:rFonts w:ascii="Times New Roman" w:hAnsi="Times New Roman"/>
          <w:lang w:eastAsia="sv-SE"/>
        </w:rPr>
        <w:t xml:space="preserve"> rekommendationer per november 2020 ska </w:t>
      </w:r>
      <w:r w:rsidR="00CA3C16">
        <w:rPr>
          <w:rFonts w:ascii="Times New Roman" w:hAnsi="Times New Roman"/>
          <w:lang w:eastAsia="sv-SE"/>
        </w:rPr>
        <w:t xml:space="preserve">dock </w:t>
      </w:r>
      <w:r w:rsidR="00734D20" w:rsidRPr="004C2E64">
        <w:rPr>
          <w:rFonts w:ascii="Times New Roman" w:hAnsi="Times New Roman"/>
          <w:lang w:eastAsia="sv-SE"/>
        </w:rPr>
        <w:t xml:space="preserve">konsulttjänster mellan lärosäten exkluderas i trigger och separata konsultkonton </w:t>
      </w:r>
      <w:r w:rsidR="001E569E" w:rsidRPr="004C2E64">
        <w:rPr>
          <w:rFonts w:ascii="Times New Roman" w:hAnsi="Times New Roman"/>
          <w:lang w:eastAsia="sv-SE"/>
        </w:rPr>
        <w:t>för lärosäten har upprättats</w:t>
      </w:r>
      <w:r w:rsidR="00734D20" w:rsidRPr="004C2E64">
        <w:rPr>
          <w:rFonts w:ascii="Times New Roman" w:hAnsi="Times New Roman"/>
          <w:lang w:eastAsia="sv-SE"/>
        </w:rPr>
        <w:t>.</w:t>
      </w:r>
      <w:r w:rsidR="001E569E" w:rsidRPr="004C2E64">
        <w:rPr>
          <w:rFonts w:ascii="Times New Roman" w:hAnsi="Times New Roman"/>
          <w:lang w:eastAsia="sv-SE"/>
        </w:rPr>
        <w:t xml:space="preserve"> </w:t>
      </w:r>
      <w:r w:rsidR="00CA3C16">
        <w:rPr>
          <w:rFonts w:ascii="Times New Roman" w:hAnsi="Times New Roman"/>
          <w:lang w:eastAsia="sv-SE"/>
        </w:rPr>
        <w:t>Detta a</w:t>
      </w:r>
      <w:r w:rsidR="001E569E" w:rsidRPr="004C2E64">
        <w:rPr>
          <w:rFonts w:ascii="Times New Roman" w:hAnsi="Times New Roman"/>
          <w:lang w:eastAsia="sv-SE"/>
        </w:rPr>
        <w:t>vser samtliga lärosäten även icke statliga.</w:t>
      </w:r>
    </w:p>
    <w:p w14:paraId="66F42E13" w14:textId="77777777" w:rsidR="00AD10F1" w:rsidRDefault="00555776" w:rsidP="00D90FE5">
      <w:pPr>
        <w:rPr>
          <w:rFonts w:ascii="Times New Roman" w:hAnsi="Times New Roman"/>
          <w:lang w:eastAsia="sv-SE"/>
        </w:rPr>
      </w:pPr>
      <w:r>
        <w:rPr>
          <w:rFonts w:ascii="Times New Roman" w:hAnsi="Times New Roman"/>
          <w:lang w:eastAsia="sv-SE"/>
        </w:rPr>
        <w:t xml:space="preserve">Fram till och med 2020 </w:t>
      </w:r>
      <w:r w:rsidR="002333F1">
        <w:rPr>
          <w:rFonts w:ascii="Times New Roman" w:hAnsi="Times New Roman"/>
          <w:lang w:eastAsia="sv-SE"/>
        </w:rPr>
        <w:t>är</w:t>
      </w:r>
      <w:r>
        <w:rPr>
          <w:rFonts w:ascii="Times New Roman" w:hAnsi="Times New Roman"/>
          <w:lang w:eastAsia="sv-SE"/>
        </w:rPr>
        <w:t xml:space="preserve"> fördelningsbasen endast löner för både utbildning och forskning.</w:t>
      </w:r>
    </w:p>
    <w:p w14:paraId="40987B53" w14:textId="77777777" w:rsidR="002C386E" w:rsidRDefault="002C386E" w:rsidP="00D90FE5">
      <w:pPr>
        <w:rPr>
          <w:rFonts w:ascii="Times New Roman" w:hAnsi="Times New Roman"/>
          <w:lang w:eastAsia="sv-SE"/>
        </w:rPr>
      </w:pPr>
      <w:r>
        <w:rPr>
          <w:rFonts w:ascii="Times New Roman" w:hAnsi="Times New Roman"/>
          <w:lang w:eastAsia="sv-SE"/>
        </w:rPr>
        <w:t xml:space="preserve">Observera att periodiserade </w:t>
      </w:r>
      <w:r w:rsidR="004904B3">
        <w:rPr>
          <w:rFonts w:ascii="Times New Roman" w:hAnsi="Times New Roman"/>
          <w:lang w:eastAsia="sv-SE"/>
        </w:rPr>
        <w:t>löne- och konsult-</w:t>
      </w:r>
      <w:r>
        <w:rPr>
          <w:rFonts w:ascii="Times New Roman" w:hAnsi="Times New Roman"/>
          <w:lang w:eastAsia="sv-SE"/>
        </w:rPr>
        <w:t xml:space="preserve">kostnader och därmed periodiseringskonton </w:t>
      </w:r>
      <w:r w:rsidRPr="002C386E">
        <w:rPr>
          <w:rFonts w:ascii="Times New Roman" w:hAnsi="Times New Roman"/>
          <w:i/>
          <w:lang w:eastAsia="sv-SE"/>
        </w:rPr>
        <w:t>inte</w:t>
      </w:r>
      <w:r>
        <w:rPr>
          <w:rFonts w:ascii="Times New Roman" w:hAnsi="Times New Roman"/>
          <w:lang w:eastAsia="sv-SE"/>
        </w:rPr>
        <w:t xml:space="preserve"> ingår i fördelningsbasen.</w:t>
      </w:r>
    </w:p>
    <w:p w14:paraId="34BFF2A0" w14:textId="77777777" w:rsidR="00F87E10" w:rsidRPr="00263881" w:rsidRDefault="00F87E10" w:rsidP="00263881">
      <w:pPr>
        <w:pStyle w:val="Rubrik3"/>
        <w:rPr>
          <w:rFonts w:ascii="Times New Roman" w:hAnsi="Times New Roman" w:cs="Times New Roman"/>
        </w:rPr>
      </w:pPr>
      <w:bookmarkStart w:id="5" w:name="_Toc58848005"/>
      <w:r w:rsidRPr="00263881">
        <w:rPr>
          <w:rFonts w:ascii="Times New Roman" w:hAnsi="Times New Roman" w:cs="Times New Roman"/>
        </w:rPr>
        <w:t>2</w:t>
      </w:r>
      <w:r w:rsidR="00AC27A3" w:rsidRPr="00263881">
        <w:rPr>
          <w:rFonts w:ascii="Times New Roman" w:hAnsi="Times New Roman" w:cs="Times New Roman"/>
        </w:rPr>
        <w:t>.2</w:t>
      </w:r>
      <w:r w:rsidR="006B669A" w:rsidRPr="00263881">
        <w:rPr>
          <w:rFonts w:ascii="Times New Roman" w:hAnsi="Times New Roman" w:cs="Times New Roman"/>
        </w:rPr>
        <w:t>.2</w:t>
      </w:r>
      <w:r w:rsidRPr="00263881">
        <w:rPr>
          <w:rFonts w:ascii="Times New Roman" w:hAnsi="Times New Roman" w:cs="Times New Roman"/>
        </w:rPr>
        <w:tab/>
        <w:t>Uppdelning på utbildning och forskning</w:t>
      </w:r>
      <w:bookmarkEnd w:id="5"/>
    </w:p>
    <w:p w14:paraId="42CBA4F0" w14:textId="77777777" w:rsidR="009C4FDD" w:rsidRDefault="00D85E67" w:rsidP="00D85E67">
      <w:pPr>
        <w:rPr>
          <w:rFonts w:ascii="Times New Roman" w:hAnsi="Times New Roman"/>
          <w:lang w:eastAsia="sv-SE"/>
        </w:rPr>
      </w:pPr>
      <w:r>
        <w:rPr>
          <w:rFonts w:ascii="Times New Roman" w:hAnsi="Times New Roman"/>
          <w:lang w:eastAsia="sv-SE"/>
        </w:rPr>
        <w:t>Kostnader för stödverksamhet är</w:t>
      </w:r>
      <w:r w:rsidR="000131F0">
        <w:rPr>
          <w:rFonts w:ascii="Times New Roman" w:hAnsi="Times New Roman"/>
          <w:lang w:eastAsia="sv-SE"/>
        </w:rPr>
        <w:t xml:space="preserve">, som tidigare nämnts, </w:t>
      </w:r>
      <w:r>
        <w:rPr>
          <w:rFonts w:ascii="Times New Roman" w:hAnsi="Times New Roman"/>
          <w:lang w:eastAsia="sv-SE"/>
        </w:rPr>
        <w:t>uppdelad</w:t>
      </w:r>
      <w:r w:rsidR="000131F0">
        <w:rPr>
          <w:rFonts w:ascii="Times New Roman" w:hAnsi="Times New Roman"/>
          <w:lang w:eastAsia="sv-SE"/>
        </w:rPr>
        <w:t xml:space="preserve"> </w:t>
      </w:r>
      <w:r>
        <w:rPr>
          <w:rFonts w:ascii="Times New Roman" w:hAnsi="Times New Roman"/>
          <w:lang w:eastAsia="sv-SE"/>
        </w:rPr>
        <w:t>efter på vilken nivå i organisationen som kostnaderna genereras – d v s universitets- samt fakultets</w:t>
      </w:r>
      <w:r w:rsidRPr="002C386E">
        <w:rPr>
          <w:rFonts w:ascii="Times New Roman" w:hAnsi="Times New Roman"/>
          <w:lang w:eastAsia="sv-SE"/>
        </w:rPr>
        <w:t>-</w:t>
      </w:r>
      <w:r w:rsidR="004E2F04" w:rsidRPr="002C386E">
        <w:rPr>
          <w:rFonts w:ascii="Times New Roman" w:hAnsi="Times New Roman"/>
          <w:lang w:eastAsia="sv-SE"/>
        </w:rPr>
        <w:t>/</w:t>
      </w:r>
      <w:r w:rsidRPr="002C386E">
        <w:rPr>
          <w:rFonts w:ascii="Times New Roman" w:hAnsi="Times New Roman"/>
          <w:lang w:eastAsia="sv-SE"/>
        </w:rPr>
        <w:t xml:space="preserve"> </w:t>
      </w:r>
      <w:r w:rsidR="0077168E" w:rsidRPr="002C386E">
        <w:rPr>
          <w:rFonts w:ascii="Times New Roman" w:hAnsi="Times New Roman"/>
          <w:lang w:eastAsia="sv-SE"/>
        </w:rPr>
        <w:t>institution</w:t>
      </w:r>
      <w:r w:rsidRPr="002C386E">
        <w:rPr>
          <w:rFonts w:ascii="Times New Roman" w:hAnsi="Times New Roman"/>
          <w:lang w:eastAsia="sv-SE"/>
        </w:rPr>
        <w:t>sgemensam</w:t>
      </w:r>
      <w:r>
        <w:rPr>
          <w:rFonts w:ascii="Times New Roman" w:hAnsi="Times New Roman"/>
          <w:lang w:eastAsia="sv-SE"/>
        </w:rPr>
        <w:t xml:space="preserve"> nivå. Dessutom ska dessa kostnader delas upp på kärnverksamheterna i relation till dess koppling till </w:t>
      </w:r>
      <w:r w:rsidR="00FE1453">
        <w:rPr>
          <w:rFonts w:ascii="Times New Roman" w:hAnsi="Times New Roman"/>
          <w:lang w:eastAsia="sv-SE"/>
        </w:rPr>
        <w:t>utbildning respektive forskning</w:t>
      </w:r>
      <w:r>
        <w:rPr>
          <w:rFonts w:ascii="Times New Roman" w:hAnsi="Times New Roman"/>
          <w:lang w:eastAsia="sv-SE"/>
        </w:rPr>
        <w:t>.  Detta innebär att det blir olika procentuella påslag för universitets- och fakultets- och avdelningsgemensam stödverksamhet samt inom dessa delar olika procentsatser efter deras uppdelning på utbildning respektive forskning.</w:t>
      </w:r>
      <w:r w:rsidR="00AA389B" w:rsidRPr="00AA389B">
        <w:rPr>
          <w:rFonts w:ascii="Times New Roman" w:hAnsi="Times New Roman"/>
          <w:lang w:eastAsia="sv-SE"/>
        </w:rPr>
        <w:t xml:space="preserve"> </w:t>
      </w:r>
      <w:r w:rsidR="00822100">
        <w:rPr>
          <w:rFonts w:ascii="Times New Roman" w:hAnsi="Times New Roman"/>
          <w:lang w:eastAsia="sv-SE"/>
        </w:rPr>
        <w:t>Inom utbildning görs ytterligare uppdelning på grundutbildning oc</w:t>
      </w:r>
      <w:r w:rsidR="009C4FDD">
        <w:rPr>
          <w:rFonts w:ascii="Times New Roman" w:hAnsi="Times New Roman"/>
          <w:lang w:eastAsia="sv-SE"/>
        </w:rPr>
        <w:t xml:space="preserve">h projektfinansierad utbildning. </w:t>
      </w:r>
    </w:p>
    <w:p w14:paraId="1983699A" w14:textId="77777777" w:rsidR="00D85E67" w:rsidRDefault="009C4FDD" w:rsidP="00D85E67">
      <w:pPr>
        <w:rPr>
          <w:rFonts w:ascii="Times New Roman" w:hAnsi="Times New Roman"/>
          <w:lang w:eastAsia="sv-SE"/>
        </w:rPr>
      </w:pPr>
      <w:r>
        <w:rPr>
          <w:rFonts w:ascii="Times New Roman" w:hAnsi="Times New Roman"/>
          <w:lang w:eastAsia="sv-SE"/>
        </w:rPr>
        <w:t xml:space="preserve">Fördelningen baseras i första hand efter direkt koppling till verksamhetsgrenarna. Där verksamheterna bedöms servas/stödjas i samma omfattning </w:t>
      </w:r>
      <w:proofErr w:type="spellStart"/>
      <w:r>
        <w:rPr>
          <w:rFonts w:ascii="Times New Roman" w:hAnsi="Times New Roman"/>
          <w:lang w:eastAsia="sv-SE"/>
        </w:rPr>
        <w:t>schablonfördelas</w:t>
      </w:r>
      <w:proofErr w:type="spellEnd"/>
      <w:r>
        <w:rPr>
          <w:rFonts w:ascii="Times New Roman" w:hAnsi="Times New Roman"/>
          <w:lang w:eastAsia="sv-SE"/>
        </w:rPr>
        <w:t xml:space="preserve"> kostnaderna baserat på procentandelen av löner inom forskning samt löner och konsulter inom grundutbildning och utbildningsprojekt.</w:t>
      </w:r>
    </w:p>
    <w:p w14:paraId="6176E753" w14:textId="77777777" w:rsidR="00B716F8" w:rsidRPr="00B716F8" w:rsidRDefault="00B716F8" w:rsidP="00B716F8">
      <w:pPr>
        <w:pStyle w:val="Rubrik3"/>
        <w:rPr>
          <w:rFonts w:ascii="Times New Roman" w:hAnsi="Times New Roman" w:cs="Times New Roman"/>
        </w:rPr>
      </w:pPr>
      <w:bookmarkStart w:id="6" w:name="_Toc58848006"/>
      <w:r w:rsidRPr="00B716F8">
        <w:rPr>
          <w:rFonts w:ascii="Times New Roman" w:hAnsi="Times New Roman" w:cs="Times New Roman"/>
        </w:rPr>
        <w:t>2.2.3</w:t>
      </w:r>
      <w:r w:rsidRPr="00B716F8">
        <w:rPr>
          <w:rFonts w:ascii="Times New Roman" w:hAnsi="Times New Roman" w:cs="Times New Roman"/>
        </w:rPr>
        <w:tab/>
        <w:t>Institutionsspecifika påslag</w:t>
      </w:r>
      <w:r w:rsidR="00A64802">
        <w:rPr>
          <w:rFonts w:ascii="Times New Roman" w:hAnsi="Times New Roman" w:cs="Times New Roman"/>
        </w:rPr>
        <w:t xml:space="preserve"> ersatta</w:t>
      </w:r>
      <w:r w:rsidR="00B56F09">
        <w:rPr>
          <w:rFonts w:ascii="Times New Roman" w:hAnsi="Times New Roman" w:cs="Times New Roman"/>
        </w:rPr>
        <w:t xml:space="preserve"> med fakultets</w:t>
      </w:r>
      <w:r w:rsidR="008972A9">
        <w:rPr>
          <w:rFonts w:ascii="Times New Roman" w:hAnsi="Times New Roman" w:cs="Times New Roman"/>
        </w:rPr>
        <w:t>specifika</w:t>
      </w:r>
      <w:r w:rsidR="00B56F09">
        <w:rPr>
          <w:rFonts w:ascii="Times New Roman" w:hAnsi="Times New Roman" w:cs="Times New Roman"/>
        </w:rPr>
        <w:t xml:space="preserve"> påslag</w:t>
      </w:r>
      <w:bookmarkEnd w:id="6"/>
    </w:p>
    <w:p w14:paraId="299545B4" w14:textId="77777777" w:rsidR="000246D8" w:rsidRDefault="00987942" w:rsidP="00117E1B">
      <w:pPr>
        <w:jc w:val="both"/>
        <w:rPr>
          <w:rFonts w:ascii="Times New Roman" w:hAnsi="Times New Roman"/>
        </w:rPr>
      </w:pPr>
      <w:r>
        <w:rPr>
          <w:rFonts w:ascii="Times New Roman" w:hAnsi="Times New Roman"/>
        </w:rPr>
        <w:t>Som beskrivits ovan är det kärnverksamhetens aktiviteter som finansierar gemensamma kost</w:t>
      </w:r>
      <w:r w:rsidR="002C386E">
        <w:rPr>
          <w:rFonts w:ascii="Times New Roman" w:hAnsi="Times New Roman"/>
        </w:rPr>
        <w:t>nader via påslag på direkt lön inom forskning samt direkt lön och konsulter inom utbildning ( fr o m 2021).</w:t>
      </w:r>
    </w:p>
    <w:p w14:paraId="5E9FC91B" w14:textId="77777777" w:rsidR="00D85E67" w:rsidRDefault="000246D8" w:rsidP="00117E1B">
      <w:pPr>
        <w:jc w:val="both"/>
        <w:rPr>
          <w:rFonts w:ascii="Times New Roman" w:hAnsi="Times New Roman"/>
        </w:rPr>
      </w:pPr>
      <w:r>
        <w:rPr>
          <w:rFonts w:ascii="Times New Roman" w:hAnsi="Times New Roman"/>
        </w:rPr>
        <w:t>Under perioden</w:t>
      </w:r>
      <w:r w:rsidR="00117E1B">
        <w:rPr>
          <w:rFonts w:ascii="Times New Roman" w:hAnsi="Times New Roman"/>
        </w:rPr>
        <w:t xml:space="preserve"> 2011 </w:t>
      </w:r>
      <w:r w:rsidR="00B56F09">
        <w:rPr>
          <w:rFonts w:ascii="Times New Roman" w:hAnsi="Times New Roman"/>
        </w:rPr>
        <w:t xml:space="preserve">fram till 2012 </w:t>
      </w:r>
      <w:r w:rsidR="0044195E">
        <w:rPr>
          <w:rFonts w:ascii="Times New Roman" w:hAnsi="Times New Roman"/>
        </w:rPr>
        <w:t xml:space="preserve">gällde </w:t>
      </w:r>
      <w:r w:rsidR="00117E1B">
        <w:rPr>
          <w:rFonts w:ascii="Times New Roman" w:hAnsi="Times New Roman"/>
        </w:rPr>
        <w:t xml:space="preserve">institutionsspecifika påslag. </w:t>
      </w:r>
      <w:r>
        <w:rPr>
          <w:rFonts w:ascii="Times New Roman" w:hAnsi="Times New Roman"/>
        </w:rPr>
        <w:t>Efter en omorganisation</w:t>
      </w:r>
      <w:r w:rsidR="00B56F09">
        <w:rPr>
          <w:rFonts w:ascii="Times New Roman" w:hAnsi="Times New Roman"/>
        </w:rPr>
        <w:t xml:space="preserve"> 2013 </w:t>
      </w:r>
      <w:r w:rsidR="0044195E">
        <w:rPr>
          <w:rFonts w:ascii="Times New Roman" w:hAnsi="Times New Roman"/>
        </w:rPr>
        <w:t>ersattes</w:t>
      </w:r>
      <w:r w:rsidR="00B56F09">
        <w:rPr>
          <w:rFonts w:ascii="Times New Roman" w:hAnsi="Times New Roman"/>
        </w:rPr>
        <w:t xml:space="preserve"> institutionsspecifika påslag med fakultets</w:t>
      </w:r>
      <w:r w:rsidR="008972A9">
        <w:rPr>
          <w:rFonts w:ascii="Times New Roman" w:hAnsi="Times New Roman"/>
        </w:rPr>
        <w:t>specifika</w:t>
      </w:r>
      <w:r w:rsidR="00B56F09">
        <w:rPr>
          <w:rFonts w:ascii="Times New Roman" w:hAnsi="Times New Roman"/>
        </w:rPr>
        <w:t xml:space="preserve"> påslag</w:t>
      </w:r>
      <w:r w:rsidR="00B91F14">
        <w:rPr>
          <w:rFonts w:ascii="Times New Roman" w:hAnsi="Times New Roman"/>
        </w:rPr>
        <w:t>.</w:t>
      </w:r>
      <w:r w:rsidR="00E773F8">
        <w:rPr>
          <w:rFonts w:ascii="Times New Roman" w:hAnsi="Times New Roman"/>
        </w:rPr>
        <w:t xml:space="preserve"> </w:t>
      </w:r>
    </w:p>
    <w:p w14:paraId="32F2EBEC" w14:textId="77777777" w:rsidR="00160F65" w:rsidRDefault="001222FE" w:rsidP="00160F65">
      <w:pPr>
        <w:rPr>
          <w:rFonts w:ascii="Times New Roman" w:hAnsi="Times New Roman"/>
          <w:lang w:eastAsia="sv-SE"/>
        </w:rPr>
      </w:pPr>
      <w:r>
        <w:rPr>
          <w:rFonts w:ascii="Times New Roman" w:hAnsi="Times New Roman"/>
        </w:rPr>
        <w:t>Årskostnaden för universitetsgemensam stödverksamhet</w:t>
      </w:r>
      <w:r w:rsidR="008972A9">
        <w:rPr>
          <w:rFonts w:ascii="Times New Roman" w:hAnsi="Times New Roman"/>
        </w:rPr>
        <w:t xml:space="preserve"> </w:t>
      </w:r>
      <w:r w:rsidR="00117E1B">
        <w:rPr>
          <w:rFonts w:ascii="Times New Roman" w:hAnsi="Times New Roman"/>
        </w:rPr>
        <w:t xml:space="preserve">fördelas </w:t>
      </w:r>
      <w:r>
        <w:rPr>
          <w:rFonts w:ascii="Times New Roman" w:hAnsi="Times New Roman"/>
        </w:rPr>
        <w:t xml:space="preserve">med 1/12 per månad </w:t>
      </w:r>
      <w:r w:rsidR="00117E1B">
        <w:rPr>
          <w:rFonts w:ascii="Times New Roman" w:hAnsi="Times New Roman"/>
        </w:rPr>
        <w:t xml:space="preserve">på samtliga </w:t>
      </w:r>
      <w:r w:rsidR="00B56F09">
        <w:rPr>
          <w:rFonts w:ascii="Times New Roman" w:hAnsi="Times New Roman"/>
        </w:rPr>
        <w:t>fakultete</w:t>
      </w:r>
      <w:r w:rsidR="00117E1B">
        <w:rPr>
          <w:rFonts w:ascii="Times New Roman" w:hAnsi="Times New Roman"/>
        </w:rPr>
        <w:t>r</w:t>
      </w:r>
      <w:r w:rsidR="00D0600C">
        <w:rPr>
          <w:rFonts w:ascii="Times New Roman" w:hAnsi="Times New Roman"/>
        </w:rPr>
        <w:t xml:space="preserve"> samt med uppdelning på utbildning och forskning</w:t>
      </w:r>
      <w:r w:rsidR="00117E1B">
        <w:rPr>
          <w:rFonts w:ascii="Times New Roman" w:hAnsi="Times New Roman"/>
        </w:rPr>
        <w:t xml:space="preserve">. </w:t>
      </w:r>
      <w:r w:rsidR="00EA3007">
        <w:rPr>
          <w:rFonts w:ascii="Times New Roman" w:hAnsi="Times New Roman"/>
        </w:rPr>
        <w:t xml:space="preserve">Fördelning per fakultet </w:t>
      </w:r>
      <w:r w:rsidR="008972A9">
        <w:rPr>
          <w:rFonts w:ascii="Times New Roman" w:hAnsi="Times New Roman"/>
        </w:rPr>
        <w:t>utgår från</w:t>
      </w:r>
      <w:r w:rsidR="00EA3007">
        <w:rPr>
          <w:rFonts w:ascii="Times New Roman" w:hAnsi="Times New Roman"/>
        </w:rPr>
        <w:t xml:space="preserve"> direkt lön per fakultet inom forskning</w:t>
      </w:r>
      <w:r w:rsidR="00555776">
        <w:rPr>
          <w:rFonts w:ascii="Times New Roman" w:hAnsi="Times New Roman"/>
        </w:rPr>
        <w:t xml:space="preserve"> samt direkt lön och konsulter inom utbildning</w:t>
      </w:r>
      <w:r w:rsidR="00EA3007">
        <w:rPr>
          <w:rFonts w:ascii="Times New Roman" w:hAnsi="Times New Roman"/>
        </w:rPr>
        <w:t xml:space="preserve">. </w:t>
      </w:r>
      <w:r w:rsidR="00117E1B">
        <w:rPr>
          <w:rFonts w:ascii="Times New Roman" w:hAnsi="Times New Roman"/>
        </w:rPr>
        <w:t xml:space="preserve">På </w:t>
      </w:r>
      <w:r w:rsidR="00B56F09">
        <w:rPr>
          <w:rFonts w:ascii="Times New Roman" w:hAnsi="Times New Roman"/>
        </w:rPr>
        <w:t>fakultet</w:t>
      </w:r>
      <w:r w:rsidR="00117E1B">
        <w:rPr>
          <w:rFonts w:ascii="Times New Roman" w:hAnsi="Times New Roman"/>
        </w:rPr>
        <w:t xml:space="preserve">snivå adderas kostnader för </w:t>
      </w:r>
      <w:r w:rsidR="00B56F09">
        <w:rPr>
          <w:rFonts w:ascii="Times New Roman" w:hAnsi="Times New Roman"/>
        </w:rPr>
        <w:t>fakultets</w:t>
      </w:r>
      <w:r w:rsidR="0077168E">
        <w:rPr>
          <w:rFonts w:ascii="Times New Roman" w:hAnsi="Times New Roman"/>
        </w:rPr>
        <w:t xml:space="preserve">- och </w:t>
      </w:r>
      <w:r w:rsidR="0077168E" w:rsidRPr="002C386E">
        <w:rPr>
          <w:rFonts w:ascii="Times New Roman" w:hAnsi="Times New Roman"/>
        </w:rPr>
        <w:t>institution</w:t>
      </w:r>
      <w:r w:rsidR="004E2F04" w:rsidRPr="002C386E">
        <w:rPr>
          <w:rFonts w:ascii="Times New Roman" w:hAnsi="Times New Roman"/>
        </w:rPr>
        <w:t>s</w:t>
      </w:r>
      <w:r w:rsidR="00117E1B" w:rsidRPr="002C386E">
        <w:rPr>
          <w:rFonts w:ascii="Times New Roman" w:hAnsi="Times New Roman"/>
        </w:rPr>
        <w:t>ge</w:t>
      </w:r>
      <w:r w:rsidR="00117E1B">
        <w:rPr>
          <w:rFonts w:ascii="Times New Roman" w:hAnsi="Times New Roman"/>
        </w:rPr>
        <w:t>mensam stödverksamhet</w:t>
      </w:r>
      <w:r w:rsidR="004E2F04">
        <w:rPr>
          <w:rFonts w:ascii="Times New Roman" w:hAnsi="Times New Roman"/>
        </w:rPr>
        <w:t xml:space="preserve">. </w:t>
      </w:r>
      <w:r w:rsidR="00EA3007">
        <w:rPr>
          <w:rFonts w:ascii="Times New Roman" w:hAnsi="Times New Roman"/>
        </w:rPr>
        <w:t>För respektive</w:t>
      </w:r>
      <w:r w:rsidR="00C30DDE">
        <w:rPr>
          <w:rFonts w:ascii="Times New Roman" w:hAnsi="Times New Roman"/>
        </w:rPr>
        <w:t xml:space="preserve"> fakultet beräknas</w:t>
      </w:r>
      <w:r w:rsidR="00117E1B">
        <w:rPr>
          <w:rFonts w:ascii="Times New Roman" w:hAnsi="Times New Roman"/>
        </w:rPr>
        <w:t xml:space="preserve"> </w:t>
      </w:r>
      <w:r w:rsidR="00D0600C">
        <w:rPr>
          <w:rFonts w:ascii="Times New Roman" w:hAnsi="Times New Roman"/>
        </w:rPr>
        <w:t xml:space="preserve">sedan </w:t>
      </w:r>
      <w:r w:rsidR="00C30DDE">
        <w:rPr>
          <w:rFonts w:ascii="Times New Roman" w:hAnsi="Times New Roman"/>
        </w:rPr>
        <w:t>fakultets</w:t>
      </w:r>
      <w:r w:rsidR="008972A9">
        <w:rPr>
          <w:rFonts w:ascii="Times New Roman" w:hAnsi="Times New Roman"/>
        </w:rPr>
        <w:t xml:space="preserve">specifika </w:t>
      </w:r>
      <w:r w:rsidR="00D0600C">
        <w:rPr>
          <w:rFonts w:ascii="Times New Roman" w:hAnsi="Times New Roman"/>
        </w:rPr>
        <w:t xml:space="preserve">procentuella påslag uppdelat på </w:t>
      </w:r>
      <w:r w:rsidR="00117E1B">
        <w:rPr>
          <w:rFonts w:ascii="Times New Roman" w:hAnsi="Times New Roman"/>
        </w:rPr>
        <w:t xml:space="preserve">utbildning respektive forskning. </w:t>
      </w:r>
      <w:r w:rsidR="00D85E67">
        <w:rPr>
          <w:rFonts w:ascii="Times New Roman" w:hAnsi="Times New Roman"/>
        </w:rPr>
        <w:t xml:space="preserve">I fakultetsspecifika påslaget inkluderas </w:t>
      </w:r>
      <w:r w:rsidR="00D0600C">
        <w:rPr>
          <w:rFonts w:ascii="Times New Roman" w:hAnsi="Times New Roman"/>
        </w:rPr>
        <w:t xml:space="preserve">därmed </w:t>
      </w:r>
      <w:r w:rsidR="00D85E67">
        <w:rPr>
          <w:rFonts w:ascii="Times New Roman" w:hAnsi="Times New Roman"/>
        </w:rPr>
        <w:t>bå</w:t>
      </w:r>
      <w:r w:rsidR="00B56F61">
        <w:rPr>
          <w:rFonts w:ascii="Times New Roman" w:hAnsi="Times New Roman"/>
        </w:rPr>
        <w:t>de universitets- och fakultets-</w:t>
      </w:r>
      <w:r w:rsidR="004E2F04">
        <w:rPr>
          <w:rFonts w:ascii="Times New Roman" w:hAnsi="Times New Roman"/>
        </w:rPr>
        <w:t>/</w:t>
      </w:r>
      <w:r w:rsidR="0044195E">
        <w:rPr>
          <w:rFonts w:ascii="Times New Roman" w:hAnsi="Times New Roman"/>
        </w:rPr>
        <w:t>institution</w:t>
      </w:r>
      <w:r w:rsidR="00D85E67">
        <w:rPr>
          <w:rFonts w:ascii="Times New Roman" w:hAnsi="Times New Roman"/>
        </w:rPr>
        <w:t xml:space="preserve">sgemensam administration. </w:t>
      </w:r>
      <w:r w:rsidR="00160F65">
        <w:rPr>
          <w:rFonts w:ascii="Times New Roman" w:hAnsi="Times New Roman"/>
          <w:lang w:eastAsia="sv-SE"/>
        </w:rPr>
        <w:t>Inom utbildning sker ytterligare uppdelning med olika procentsatser för projekt samt grundutbildning.</w:t>
      </w:r>
    </w:p>
    <w:p w14:paraId="2C5191C8" w14:textId="77777777" w:rsidR="00D85E67" w:rsidRDefault="00D85E67" w:rsidP="00117E1B">
      <w:pPr>
        <w:jc w:val="both"/>
        <w:rPr>
          <w:rFonts w:ascii="Times New Roman" w:hAnsi="Times New Roman"/>
        </w:rPr>
      </w:pPr>
      <w:r>
        <w:rPr>
          <w:rFonts w:ascii="Times New Roman" w:hAnsi="Times New Roman"/>
        </w:rPr>
        <w:t>För påslag inom externfinansierad verksamhet inom förvaltning ingår endast universitetsgemensam administration.</w:t>
      </w:r>
    </w:p>
    <w:p w14:paraId="50525F5A" w14:textId="77777777" w:rsidR="00070866" w:rsidRDefault="00070866" w:rsidP="00070866">
      <w:pPr>
        <w:pStyle w:val="Rubrik3"/>
        <w:rPr>
          <w:rFonts w:ascii="Times New Roman" w:hAnsi="Times New Roman" w:cs="Times New Roman"/>
        </w:rPr>
      </w:pPr>
      <w:bookmarkStart w:id="7" w:name="_Toc58848007"/>
      <w:r w:rsidRPr="00263881">
        <w:rPr>
          <w:rFonts w:ascii="Times New Roman" w:hAnsi="Times New Roman" w:cs="Times New Roman"/>
        </w:rPr>
        <w:t>2.2</w:t>
      </w:r>
      <w:r>
        <w:rPr>
          <w:rFonts w:ascii="Times New Roman" w:hAnsi="Times New Roman" w:cs="Times New Roman"/>
        </w:rPr>
        <w:t>.4</w:t>
      </w:r>
      <w:r w:rsidRPr="00263881">
        <w:rPr>
          <w:rFonts w:ascii="Times New Roman" w:hAnsi="Times New Roman" w:cs="Times New Roman"/>
        </w:rPr>
        <w:tab/>
      </w:r>
      <w:r>
        <w:rPr>
          <w:rFonts w:ascii="Times New Roman" w:hAnsi="Times New Roman" w:cs="Times New Roman"/>
        </w:rPr>
        <w:t>Full kostnadstäckning på några års sikt</w:t>
      </w:r>
      <w:r w:rsidR="00C53759">
        <w:rPr>
          <w:rFonts w:ascii="Times New Roman" w:hAnsi="Times New Roman" w:cs="Times New Roman"/>
        </w:rPr>
        <w:t xml:space="preserve"> från och med 2017</w:t>
      </w:r>
      <w:bookmarkEnd w:id="7"/>
    </w:p>
    <w:p w14:paraId="0320D44B" w14:textId="77777777" w:rsidR="00124CCA" w:rsidRDefault="00B56F61" w:rsidP="00B56F61">
      <w:pPr>
        <w:rPr>
          <w:rFonts w:ascii="Times New Roman" w:hAnsi="Times New Roman"/>
        </w:rPr>
      </w:pPr>
      <w:r w:rsidRPr="00A02B0C">
        <w:rPr>
          <w:rFonts w:ascii="Times New Roman" w:hAnsi="Times New Roman"/>
        </w:rPr>
        <w:t xml:space="preserve">Mittuniversitet </w:t>
      </w:r>
      <w:r w:rsidR="0030348E">
        <w:rPr>
          <w:rFonts w:ascii="Times New Roman" w:hAnsi="Times New Roman"/>
        </w:rPr>
        <w:t>beräknade fram till och med 2016</w:t>
      </w:r>
      <w:r w:rsidRPr="00A02B0C">
        <w:rPr>
          <w:rFonts w:ascii="Times New Roman" w:hAnsi="Times New Roman"/>
        </w:rPr>
        <w:t xml:space="preserve"> full kostnadstäckning per år för finansiering av gemensam stödverksamhet (OH). Aktuellt års procentsats för påslag för OH basera</w:t>
      </w:r>
      <w:r w:rsidR="0030348E">
        <w:rPr>
          <w:rFonts w:ascii="Times New Roman" w:hAnsi="Times New Roman"/>
        </w:rPr>
        <w:t>de</w:t>
      </w:r>
      <w:r w:rsidRPr="00A02B0C">
        <w:rPr>
          <w:rFonts w:ascii="Times New Roman" w:hAnsi="Times New Roman"/>
        </w:rPr>
        <w:t xml:space="preserve">s </w:t>
      </w:r>
      <w:r w:rsidR="0030348E">
        <w:rPr>
          <w:rFonts w:ascii="Times New Roman" w:hAnsi="Times New Roman"/>
        </w:rPr>
        <w:t>då på årets budgetvärden</w:t>
      </w:r>
      <w:r w:rsidRPr="00A02B0C">
        <w:rPr>
          <w:rFonts w:ascii="Times New Roman" w:hAnsi="Times New Roman"/>
        </w:rPr>
        <w:t xml:space="preserve">. Full kostnadstäckning per år ger vid tillfälliga förändringar i omsättning även tillfälliga förändringar i procentsatser för indirekta kostnader (OH) vilket försvårar både kort- och långsiktiga </w:t>
      </w:r>
      <w:r w:rsidRPr="00A02B0C">
        <w:rPr>
          <w:rFonts w:ascii="Times New Roman" w:hAnsi="Times New Roman"/>
        </w:rPr>
        <w:lastRenderedPageBreak/>
        <w:t>planeringar av verksamheten. Med anledning av tillfälliga förändringar i</w:t>
      </w:r>
      <w:r w:rsidR="006A771C">
        <w:rPr>
          <w:rFonts w:ascii="Times New Roman" w:hAnsi="Times New Roman"/>
        </w:rPr>
        <w:t>nom frä</w:t>
      </w:r>
      <w:r w:rsidR="0057133F">
        <w:rPr>
          <w:rFonts w:ascii="Times New Roman" w:hAnsi="Times New Roman"/>
        </w:rPr>
        <w:t>mst</w:t>
      </w:r>
      <w:r w:rsidRPr="00A02B0C">
        <w:rPr>
          <w:rFonts w:ascii="Times New Roman" w:hAnsi="Times New Roman"/>
        </w:rPr>
        <w:t xml:space="preserve"> forskningens oms</w:t>
      </w:r>
      <w:r w:rsidR="0030348E">
        <w:rPr>
          <w:rFonts w:ascii="Times New Roman" w:hAnsi="Times New Roman"/>
        </w:rPr>
        <w:t>ättning beslutades att Mittuniversitetets</w:t>
      </w:r>
      <w:r w:rsidRPr="00A02B0C">
        <w:rPr>
          <w:rFonts w:ascii="Times New Roman" w:hAnsi="Times New Roman"/>
        </w:rPr>
        <w:t xml:space="preserve"> redovisningsmodel</w:t>
      </w:r>
      <w:r w:rsidR="0030348E">
        <w:rPr>
          <w:rFonts w:ascii="Times New Roman" w:hAnsi="Times New Roman"/>
        </w:rPr>
        <w:t xml:space="preserve">l </w:t>
      </w:r>
      <w:r w:rsidRPr="00A02B0C">
        <w:rPr>
          <w:rFonts w:ascii="Times New Roman" w:hAnsi="Times New Roman"/>
        </w:rPr>
        <w:t xml:space="preserve">från och med 2018 </w:t>
      </w:r>
      <w:r w:rsidR="0057133F">
        <w:rPr>
          <w:rFonts w:ascii="Times New Roman" w:hAnsi="Times New Roman"/>
        </w:rPr>
        <w:t>skulle ändras</w:t>
      </w:r>
      <w:r w:rsidR="0030348E">
        <w:rPr>
          <w:rFonts w:ascii="Times New Roman" w:hAnsi="Times New Roman"/>
        </w:rPr>
        <w:t xml:space="preserve"> </w:t>
      </w:r>
      <w:r w:rsidRPr="00A02B0C">
        <w:rPr>
          <w:rFonts w:ascii="Times New Roman" w:hAnsi="Times New Roman"/>
        </w:rPr>
        <w:t>till full kostnadstäckning på några års sikt d</w:t>
      </w:r>
      <w:r w:rsidR="0030348E">
        <w:rPr>
          <w:rFonts w:ascii="Times New Roman" w:hAnsi="Times New Roman"/>
        </w:rPr>
        <w:t>är ”på några års sikt”</w:t>
      </w:r>
      <w:r w:rsidR="00124CCA">
        <w:rPr>
          <w:rFonts w:ascii="Times New Roman" w:hAnsi="Times New Roman"/>
        </w:rPr>
        <w:t xml:space="preserve"> under perioden 2018-2020</w:t>
      </w:r>
      <w:r w:rsidR="0030348E">
        <w:rPr>
          <w:rFonts w:ascii="Times New Roman" w:hAnsi="Times New Roman"/>
        </w:rPr>
        <w:t xml:space="preserve"> motsvarade</w:t>
      </w:r>
      <w:r w:rsidRPr="00A02B0C">
        <w:rPr>
          <w:rFonts w:ascii="Times New Roman" w:hAnsi="Times New Roman"/>
        </w:rPr>
        <w:t xml:space="preserve"> de fyr</w:t>
      </w:r>
      <w:r w:rsidR="00B66DFA">
        <w:rPr>
          <w:rFonts w:ascii="Times New Roman" w:hAnsi="Times New Roman"/>
        </w:rPr>
        <w:t>a</w:t>
      </w:r>
      <w:r w:rsidR="0030348E">
        <w:rPr>
          <w:rFonts w:ascii="Times New Roman" w:hAnsi="Times New Roman"/>
        </w:rPr>
        <w:t>, närmast</w:t>
      </w:r>
      <w:r w:rsidR="00B66DFA">
        <w:rPr>
          <w:rFonts w:ascii="Times New Roman" w:hAnsi="Times New Roman"/>
        </w:rPr>
        <w:t xml:space="preserve"> föregående åren</w:t>
      </w:r>
      <w:r w:rsidR="00124CCA">
        <w:rPr>
          <w:rFonts w:ascii="Times New Roman" w:hAnsi="Times New Roman"/>
        </w:rPr>
        <w:t xml:space="preserve"> (Dnr MIUN</w:t>
      </w:r>
      <w:r w:rsidRPr="00A02B0C">
        <w:rPr>
          <w:rFonts w:ascii="Times New Roman" w:hAnsi="Times New Roman"/>
        </w:rPr>
        <w:t xml:space="preserve"> 2016/1358</w:t>
      </w:r>
      <w:r w:rsidR="00124CCA">
        <w:rPr>
          <w:rFonts w:ascii="Times New Roman" w:hAnsi="Times New Roman"/>
        </w:rPr>
        <w:t>)</w:t>
      </w:r>
      <w:r w:rsidRPr="00A02B0C">
        <w:rPr>
          <w:rFonts w:ascii="Times New Roman" w:hAnsi="Times New Roman"/>
        </w:rPr>
        <w:t xml:space="preserve">. </w:t>
      </w:r>
      <w:r w:rsidR="0030348E">
        <w:rPr>
          <w:rFonts w:ascii="Times New Roman" w:hAnsi="Times New Roman"/>
        </w:rPr>
        <w:t>Med anledning av omorganisationen 2013 beslutades f</w:t>
      </w:r>
      <w:r w:rsidRPr="00A02B0C">
        <w:rPr>
          <w:rFonts w:ascii="Times New Roman" w:hAnsi="Times New Roman"/>
        </w:rPr>
        <w:t xml:space="preserve">ör 2017 en övergångslösning med en beräkning av snittprocent </w:t>
      </w:r>
      <w:r w:rsidR="0030348E">
        <w:rPr>
          <w:rFonts w:ascii="Times New Roman" w:hAnsi="Times New Roman"/>
        </w:rPr>
        <w:t>för de tre närmast föregående åren</w:t>
      </w:r>
      <w:r w:rsidRPr="00A02B0C">
        <w:rPr>
          <w:rFonts w:ascii="Times New Roman" w:hAnsi="Times New Roman"/>
        </w:rPr>
        <w:t xml:space="preserve">. </w:t>
      </w:r>
      <w:r w:rsidR="00124CCA">
        <w:rPr>
          <w:rFonts w:ascii="Times New Roman" w:hAnsi="Times New Roman"/>
        </w:rPr>
        <w:t>Efter analys av budget mot utfall för några år beslutades att beräkningsunderlaget från och med 202</w:t>
      </w:r>
      <w:r w:rsidR="0057133F">
        <w:rPr>
          <w:rFonts w:ascii="Times New Roman" w:hAnsi="Times New Roman"/>
        </w:rPr>
        <w:t>1</w:t>
      </w:r>
      <w:r w:rsidR="00124CCA">
        <w:rPr>
          <w:rFonts w:ascii="Times New Roman" w:hAnsi="Times New Roman"/>
        </w:rPr>
        <w:t xml:space="preserve"> ändras till fyra föregående avslutade år d v s </w:t>
      </w:r>
      <w:proofErr w:type="spellStart"/>
      <w:r w:rsidR="00124CCA">
        <w:rPr>
          <w:rFonts w:ascii="Times New Roman" w:hAnsi="Times New Roman"/>
        </w:rPr>
        <w:t>utfallsår</w:t>
      </w:r>
      <w:proofErr w:type="spellEnd"/>
      <w:r w:rsidR="00124CCA">
        <w:rPr>
          <w:rFonts w:ascii="Times New Roman" w:hAnsi="Times New Roman"/>
        </w:rPr>
        <w:t xml:space="preserve"> (Dnr MIUN 2020/1169)</w:t>
      </w:r>
      <w:r w:rsidR="004C29B3">
        <w:rPr>
          <w:rFonts w:ascii="Times New Roman" w:hAnsi="Times New Roman"/>
        </w:rPr>
        <w:t>.</w:t>
      </w:r>
    </w:p>
    <w:p w14:paraId="1D7CF77F" w14:textId="77777777" w:rsidR="00124CCA" w:rsidRPr="00A02B0C" w:rsidRDefault="004C29B3" w:rsidP="00B56F61">
      <w:pPr>
        <w:rPr>
          <w:rFonts w:ascii="Times New Roman" w:hAnsi="Times New Roman"/>
        </w:rPr>
      </w:pPr>
      <w:r>
        <w:rPr>
          <w:noProof/>
          <w:lang w:eastAsia="sv-SE"/>
        </w:rPr>
        <w:drawing>
          <wp:inline distT="0" distB="0" distL="0" distR="0" wp14:anchorId="115ED01E" wp14:editId="7D62B841">
            <wp:extent cx="1501140" cy="2164219"/>
            <wp:effectExtent l="0" t="0" r="381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15212" cy="2184506"/>
                    </a:xfrm>
                    <a:prstGeom prst="rect">
                      <a:avLst/>
                    </a:prstGeom>
                  </pic:spPr>
                </pic:pic>
              </a:graphicData>
            </a:graphic>
          </wp:inline>
        </w:drawing>
      </w:r>
    </w:p>
    <w:p w14:paraId="5E2F8A18" w14:textId="77777777" w:rsidR="00CE61CD" w:rsidRPr="00263881" w:rsidRDefault="00133084" w:rsidP="00263881">
      <w:pPr>
        <w:pStyle w:val="Rubrik3"/>
        <w:rPr>
          <w:rFonts w:ascii="Times New Roman" w:hAnsi="Times New Roman" w:cs="Times New Roman"/>
        </w:rPr>
      </w:pPr>
      <w:bookmarkStart w:id="8" w:name="_Toc58848008"/>
      <w:r w:rsidRPr="00263881">
        <w:rPr>
          <w:rFonts w:ascii="Times New Roman" w:hAnsi="Times New Roman" w:cs="Times New Roman"/>
        </w:rPr>
        <w:t>2</w:t>
      </w:r>
      <w:r w:rsidR="00AC27A3" w:rsidRPr="00263881">
        <w:rPr>
          <w:rFonts w:ascii="Times New Roman" w:hAnsi="Times New Roman" w:cs="Times New Roman"/>
        </w:rPr>
        <w:t>.2</w:t>
      </w:r>
      <w:r w:rsidR="00070866">
        <w:rPr>
          <w:rFonts w:ascii="Times New Roman" w:hAnsi="Times New Roman" w:cs="Times New Roman"/>
        </w:rPr>
        <w:t>.5</w:t>
      </w:r>
      <w:r w:rsidRPr="00263881">
        <w:rPr>
          <w:rFonts w:ascii="Times New Roman" w:hAnsi="Times New Roman" w:cs="Times New Roman"/>
        </w:rPr>
        <w:tab/>
        <w:t>Specifikation av stödverksamhetens kostnader</w:t>
      </w:r>
      <w:r w:rsidR="003938FA" w:rsidRPr="00263881">
        <w:rPr>
          <w:rFonts w:ascii="Times New Roman" w:hAnsi="Times New Roman" w:cs="Times New Roman"/>
        </w:rPr>
        <w:t xml:space="preserve"> i projektkalkyl</w:t>
      </w:r>
      <w:bookmarkEnd w:id="8"/>
    </w:p>
    <w:p w14:paraId="60D1AC15" w14:textId="77777777" w:rsidR="00CE61CD" w:rsidRDefault="00C53759" w:rsidP="00CE61CD">
      <w:pPr>
        <w:spacing w:after="0" w:line="240" w:lineRule="auto"/>
        <w:rPr>
          <w:rFonts w:ascii="Times New Roman" w:hAnsi="Times New Roman"/>
          <w:color w:val="FF0000"/>
        </w:rPr>
      </w:pPr>
      <w:r>
        <w:rPr>
          <w:rFonts w:ascii="Times New Roman" w:hAnsi="Times New Roman"/>
        </w:rPr>
        <w:t xml:space="preserve">Enligt </w:t>
      </w:r>
      <w:proofErr w:type="spellStart"/>
      <w:r>
        <w:rPr>
          <w:rFonts w:ascii="Times New Roman" w:hAnsi="Times New Roman"/>
        </w:rPr>
        <w:t>SUHF´s</w:t>
      </w:r>
      <w:proofErr w:type="spellEnd"/>
      <w:r>
        <w:rPr>
          <w:rFonts w:ascii="Times New Roman" w:hAnsi="Times New Roman"/>
        </w:rPr>
        <w:t xml:space="preserve"> modell ska </w:t>
      </w:r>
      <w:r w:rsidR="00CE61CD">
        <w:rPr>
          <w:rFonts w:ascii="Times New Roman" w:hAnsi="Times New Roman"/>
        </w:rPr>
        <w:t>samtliga kostnader inom stödverksamheten beskrivas</w:t>
      </w:r>
      <w:r w:rsidR="005D07E2">
        <w:rPr>
          <w:rFonts w:ascii="Times New Roman" w:hAnsi="Times New Roman"/>
        </w:rPr>
        <w:t>/specificeras</w:t>
      </w:r>
      <w:r w:rsidR="00CE61CD">
        <w:rPr>
          <w:rFonts w:ascii="Times New Roman" w:hAnsi="Times New Roman"/>
        </w:rPr>
        <w:t xml:space="preserve"> på ett enhetligt sätt och </w:t>
      </w:r>
      <w:r w:rsidR="00E30843">
        <w:rPr>
          <w:rFonts w:ascii="Times New Roman" w:hAnsi="Times New Roman"/>
        </w:rPr>
        <w:t xml:space="preserve">fördelas på utbildning och forskning enligt ovan.  De </w:t>
      </w:r>
      <w:r w:rsidR="00F3154E">
        <w:rPr>
          <w:rFonts w:ascii="Times New Roman" w:hAnsi="Times New Roman"/>
        </w:rPr>
        <w:t xml:space="preserve">indirekta kostnaderna skall specificeras efter vilken typ av administrationskostnad som avses. </w:t>
      </w:r>
      <w:r w:rsidR="00E30843">
        <w:rPr>
          <w:rFonts w:ascii="Times New Roman" w:hAnsi="Times New Roman"/>
        </w:rPr>
        <w:t xml:space="preserve"> </w:t>
      </w:r>
      <w:r w:rsidR="00054F15">
        <w:rPr>
          <w:rFonts w:ascii="Times New Roman" w:hAnsi="Times New Roman"/>
        </w:rPr>
        <w:t>Specifikationen g</w:t>
      </w:r>
      <w:r w:rsidR="00F3154E">
        <w:rPr>
          <w:rFonts w:ascii="Times New Roman" w:hAnsi="Times New Roman"/>
        </w:rPr>
        <w:t xml:space="preserve">örs </w:t>
      </w:r>
      <w:r w:rsidR="00B91F14">
        <w:rPr>
          <w:rFonts w:ascii="Times New Roman" w:hAnsi="Times New Roman"/>
        </w:rPr>
        <w:t xml:space="preserve">sidoordnat </w:t>
      </w:r>
      <w:r w:rsidR="00F3154E">
        <w:rPr>
          <w:rFonts w:ascii="Times New Roman" w:hAnsi="Times New Roman"/>
        </w:rPr>
        <w:t>i</w:t>
      </w:r>
      <w:r w:rsidR="00C54AE0">
        <w:rPr>
          <w:rFonts w:ascii="Times New Roman" w:hAnsi="Times New Roman"/>
        </w:rPr>
        <w:t xml:space="preserve"> sex olika funktione</w:t>
      </w:r>
      <w:r w:rsidR="008972A9">
        <w:rPr>
          <w:rFonts w:ascii="Times New Roman" w:hAnsi="Times New Roman"/>
        </w:rPr>
        <w:t>r</w:t>
      </w:r>
      <w:r w:rsidR="00C54AE0">
        <w:rPr>
          <w:rFonts w:ascii="Times New Roman" w:hAnsi="Times New Roman"/>
        </w:rPr>
        <w:t>;</w:t>
      </w:r>
      <w:r w:rsidR="00CE61CD">
        <w:rPr>
          <w:rFonts w:ascii="Times New Roman" w:hAnsi="Times New Roman"/>
        </w:rPr>
        <w:t xml:space="preserve"> </w:t>
      </w:r>
    </w:p>
    <w:p w14:paraId="66C39B03" w14:textId="77777777" w:rsidR="00CE61CD" w:rsidRPr="00054F15" w:rsidRDefault="00CE61CD" w:rsidP="00CE61CD">
      <w:pPr>
        <w:pStyle w:val="Liststycke"/>
        <w:numPr>
          <w:ilvl w:val="0"/>
          <w:numId w:val="2"/>
        </w:numPr>
        <w:spacing w:after="0" w:line="240" w:lineRule="auto"/>
        <w:rPr>
          <w:rFonts w:ascii="Times New Roman" w:hAnsi="Times New Roman"/>
        </w:rPr>
      </w:pPr>
      <w:r w:rsidRPr="00054F15">
        <w:rPr>
          <w:rFonts w:ascii="Times New Roman" w:hAnsi="Times New Roman"/>
        </w:rPr>
        <w:t>Ledning</w:t>
      </w:r>
    </w:p>
    <w:p w14:paraId="791EA5D1" w14:textId="77777777" w:rsidR="00CE61CD" w:rsidRPr="00054F15" w:rsidRDefault="00054F15" w:rsidP="00CE61CD">
      <w:pPr>
        <w:pStyle w:val="Liststycke"/>
        <w:numPr>
          <w:ilvl w:val="0"/>
          <w:numId w:val="2"/>
        </w:numPr>
        <w:spacing w:after="0" w:line="240" w:lineRule="auto"/>
        <w:rPr>
          <w:rFonts w:ascii="Times New Roman" w:hAnsi="Times New Roman"/>
        </w:rPr>
      </w:pPr>
      <w:r w:rsidRPr="00054F15">
        <w:rPr>
          <w:rFonts w:ascii="Times New Roman" w:hAnsi="Times New Roman"/>
        </w:rPr>
        <w:t>Utbild</w:t>
      </w:r>
      <w:r w:rsidR="00CE61CD" w:rsidRPr="00054F15">
        <w:rPr>
          <w:rFonts w:ascii="Times New Roman" w:hAnsi="Times New Roman"/>
        </w:rPr>
        <w:t>nings- och forskningsadministration</w:t>
      </w:r>
    </w:p>
    <w:p w14:paraId="27CC3A10" w14:textId="77777777" w:rsidR="00CE61CD" w:rsidRPr="00054F15" w:rsidRDefault="00CE61CD" w:rsidP="00CE61CD">
      <w:pPr>
        <w:pStyle w:val="Liststycke"/>
        <w:numPr>
          <w:ilvl w:val="0"/>
          <w:numId w:val="2"/>
        </w:numPr>
        <w:spacing w:after="0" w:line="240" w:lineRule="auto"/>
        <w:rPr>
          <w:rFonts w:ascii="Times New Roman" w:hAnsi="Times New Roman"/>
        </w:rPr>
      </w:pPr>
      <w:r w:rsidRPr="00054F15">
        <w:rPr>
          <w:rFonts w:ascii="Times New Roman" w:hAnsi="Times New Roman"/>
        </w:rPr>
        <w:t>Ekonomi- och personaladministration</w:t>
      </w:r>
    </w:p>
    <w:p w14:paraId="60DC4A75" w14:textId="77777777" w:rsidR="00CE61CD" w:rsidRPr="00054F15" w:rsidRDefault="00CE61CD" w:rsidP="00CE61CD">
      <w:pPr>
        <w:pStyle w:val="Liststycke"/>
        <w:numPr>
          <w:ilvl w:val="0"/>
          <w:numId w:val="2"/>
        </w:numPr>
        <w:spacing w:after="0" w:line="240" w:lineRule="auto"/>
        <w:rPr>
          <w:rFonts w:ascii="Times New Roman" w:hAnsi="Times New Roman"/>
        </w:rPr>
      </w:pPr>
      <w:r w:rsidRPr="00054F15">
        <w:rPr>
          <w:rFonts w:ascii="Times New Roman" w:hAnsi="Times New Roman"/>
        </w:rPr>
        <w:t>Infrastruktur</w:t>
      </w:r>
      <w:r w:rsidR="00054F15" w:rsidRPr="00054F15">
        <w:rPr>
          <w:rFonts w:ascii="Times New Roman" w:hAnsi="Times New Roman"/>
        </w:rPr>
        <w:t xml:space="preserve"> och service</w:t>
      </w:r>
    </w:p>
    <w:p w14:paraId="7E2151C0" w14:textId="77777777" w:rsidR="00CE61CD" w:rsidRPr="00054F15" w:rsidRDefault="00CE61CD" w:rsidP="00CE61CD">
      <w:pPr>
        <w:pStyle w:val="Liststycke"/>
        <w:numPr>
          <w:ilvl w:val="0"/>
          <w:numId w:val="2"/>
        </w:numPr>
        <w:spacing w:after="0" w:line="240" w:lineRule="auto"/>
        <w:rPr>
          <w:rFonts w:ascii="Times New Roman" w:hAnsi="Times New Roman"/>
        </w:rPr>
      </w:pPr>
      <w:r w:rsidRPr="00054F15">
        <w:rPr>
          <w:rFonts w:ascii="Times New Roman" w:hAnsi="Times New Roman"/>
        </w:rPr>
        <w:t>Bibliotek</w:t>
      </w:r>
    </w:p>
    <w:p w14:paraId="5F4A3E7D" w14:textId="77777777" w:rsidR="00AC27A3" w:rsidRDefault="00054F15" w:rsidP="00CE61CD">
      <w:pPr>
        <w:pStyle w:val="Liststycke"/>
        <w:numPr>
          <w:ilvl w:val="0"/>
          <w:numId w:val="2"/>
        </w:numPr>
        <w:spacing w:after="0" w:line="240" w:lineRule="auto"/>
        <w:rPr>
          <w:rFonts w:ascii="Times New Roman" w:hAnsi="Times New Roman"/>
        </w:rPr>
      </w:pPr>
      <w:r w:rsidRPr="00054F15">
        <w:rPr>
          <w:rFonts w:ascii="Times New Roman" w:hAnsi="Times New Roman"/>
        </w:rPr>
        <w:t>Nivås</w:t>
      </w:r>
      <w:r w:rsidR="00CE61CD" w:rsidRPr="00054F15">
        <w:rPr>
          <w:rFonts w:ascii="Times New Roman" w:hAnsi="Times New Roman"/>
        </w:rPr>
        <w:t>pecifikt</w:t>
      </w:r>
      <w:r w:rsidRPr="00054F15">
        <w:rPr>
          <w:rFonts w:ascii="Times New Roman" w:hAnsi="Times New Roman"/>
        </w:rPr>
        <w:t xml:space="preserve"> mm</w:t>
      </w:r>
    </w:p>
    <w:p w14:paraId="3E4C3879" w14:textId="77777777" w:rsidR="00714C23" w:rsidRPr="00714C23" w:rsidRDefault="00714C23" w:rsidP="00714C23">
      <w:pPr>
        <w:pStyle w:val="Liststycke"/>
        <w:spacing w:after="0" w:line="240" w:lineRule="auto"/>
        <w:rPr>
          <w:rFonts w:ascii="Times New Roman" w:hAnsi="Times New Roman"/>
        </w:rPr>
      </w:pPr>
    </w:p>
    <w:p w14:paraId="0D1F457D" w14:textId="77777777" w:rsidR="00714C23" w:rsidRDefault="00C53759" w:rsidP="00CE61CD">
      <w:pPr>
        <w:rPr>
          <w:rFonts w:ascii="Times New Roman" w:hAnsi="Times New Roman"/>
        </w:rPr>
      </w:pPr>
      <w:r w:rsidRPr="00C53759">
        <w:rPr>
          <w:rFonts w:ascii="Times New Roman" w:hAnsi="Times New Roman"/>
        </w:rPr>
        <w:t xml:space="preserve">Uppdelningen </w:t>
      </w:r>
      <w:r>
        <w:rPr>
          <w:rFonts w:ascii="Times New Roman" w:hAnsi="Times New Roman"/>
        </w:rPr>
        <w:t xml:space="preserve">föreslås även </w:t>
      </w:r>
      <w:r w:rsidRPr="00C53759">
        <w:rPr>
          <w:rFonts w:ascii="Times New Roman" w:hAnsi="Times New Roman"/>
        </w:rPr>
        <w:t>användas i lärosätets projektkalkyler. Mittuniversitetet har dock valt att endast ha</w:t>
      </w:r>
      <w:r>
        <w:rPr>
          <w:rFonts w:ascii="Times New Roman" w:hAnsi="Times New Roman"/>
        </w:rPr>
        <w:t xml:space="preserve"> denna specifikation sidoordnad och har byggt speciella Excelmall för detta.</w:t>
      </w:r>
      <w:r w:rsidRPr="00C53759">
        <w:rPr>
          <w:rFonts w:ascii="Times New Roman" w:hAnsi="Times New Roman"/>
        </w:rPr>
        <w:t xml:space="preserve"> SUHF </w:t>
      </w:r>
      <w:r w:rsidR="00B66DFA">
        <w:rPr>
          <w:rFonts w:ascii="Times New Roman" w:hAnsi="Times New Roman"/>
        </w:rPr>
        <w:t>sammanställer</w:t>
      </w:r>
      <w:r w:rsidRPr="00C53759">
        <w:rPr>
          <w:rFonts w:ascii="Times New Roman" w:hAnsi="Times New Roman"/>
        </w:rPr>
        <w:t xml:space="preserve"> varje år samtliga lärosätens budgetvärden för indirekta kostnader grupperad i </w:t>
      </w:r>
      <w:r>
        <w:rPr>
          <w:rFonts w:ascii="Times New Roman" w:hAnsi="Times New Roman"/>
        </w:rPr>
        <w:t xml:space="preserve">de </w:t>
      </w:r>
      <w:r w:rsidRPr="00C53759">
        <w:rPr>
          <w:rFonts w:ascii="Times New Roman" w:hAnsi="Times New Roman"/>
        </w:rPr>
        <w:t>sex olika funktione</w:t>
      </w:r>
      <w:r>
        <w:rPr>
          <w:rFonts w:ascii="Times New Roman" w:hAnsi="Times New Roman"/>
        </w:rPr>
        <w:t>rna</w:t>
      </w:r>
      <w:r w:rsidRPr="00C53759">
        <w:rPr>
          <w:rFonts w:ascii="Times New Roman" w:hAnsi="Times New Roman"/>
        </w:rPr>
        <w:t xml:space="preserve">. </w:t>
      </w:r>
      <w:r w:rsidR="00AB5DAA">
        <w:rPr>
          <w:rFonts w:ascii="Times New Roman" w:hAnsi="Times New Roman"/>
        </w:rPr>
        <w:t xml:space="preserve">I bilaga 1 framgår </w:t>
      </w:r>
      <w:proofErr w:type="spellStart"/>
      <w:r w:rsidR="00AB5DAA">
        <w:rPr>
          <w:rFonts w:ascii="Times New Roman" w:hAnsi="Times New Roman"/>
        </w:rPr>
        <w:t>SUHF´s</w:t>
      </w:r>
      <w:proofErr w:type="spellEnd"/>
      <w:r w:rsidR="00AB5DAA">
        <w:rPr>
          <w:rFonts w:ascii="Times New Roman" w:hAnsi="Times New Roman"/>
        </w:rPr>
        <w:t xml:space="preserve"> rekommenderade uppdelning av kostnader i de sex olika funktionerna. I bilaga 2 framgår Mittuniversitets motsvarande uppdelning</w:t>
      </w:r>
      <w:r w:rsidR="00E35C7F">
        <w:rPr>
          <w:rFonts w:ascii="Times New Roman" w:hAnsi="Times New Roman"/>
        </w:rPr>
        <w:t xml:space="preserve"> av kostnader</w:t>
      </w:r>
      <w:r w:rsidR="00AB5DAA">
        <w:rPr>
          <w:rFonts w:ascii="Times New Roman" w:hAnsi="Times New Roman"/>
        </w:rPr>
        <w:t>.</w:t>
      </w:r>
    </w:p>
    <w:p w14:paraId="03B9837D" w14:textId="77777777" w:rsidR="0080386C" w:rsidRPr="00C53759" w:rsidRDefault="0080386C" w:rsidP="00CE61CD">
      <w:pPr>
        <w:rPr>
          <w:rFonts w:ascii="Times New Roman" w:hAnsi="Times New Roman"/>
        </w:rPr>
      </w:pPr>
    </w:p>
    <w:p w14:paraId="7EF5F2ED" w14:textId="77777777" w:rsidR="00E30843" w:rsidRPr="00E30843" w:rsidRDefault="00E30843" w:rsidP="00E30843">
      <w:pPr>
        <w:pStyle w:val="Rubrik1"/>
        <w:rPr>
          <w:rFonts w:ascii="Times New Roman" w:hAnsi="Times New Roman" w:cs="Times New Roman"/>
          <w:color w:val="000000"/>
        </w:rPr>
      </w:pPr>
      <w:bookmarkStart w:id="9" w:name="_Toc58848009"/>
      <w:r w:rsidRPr="00E30843">
        <w:rPr>
          <w:rFonts w:ascii="Times New Roman" w:hAnsi="Times New Roman" w:cs="Times New Roman"/>
          <w:color w:val="000000"/>
        </w:rPr>
        <w:t xml:space="preserve">3. </w:t>
      </w:r>
      <w:r w:rsidR="006B669A">
        <w:rPr>
          <w:rFonts w:ascii="Times New Roman" w:hAnsi="Times New Roman" w:cs="Times New Roman"/>
          <w:color w:val="000000"/>
        </w:rPr>
        <w:t xml:space="preserve"> </w:t>
      </w:r>
      <w:r w:rsidR="00B85978">
        <w:rPr>
          <w:rFonts w:ascii="Times New Roman" w:hAnsi="Times New Roman"/>
          <w:color w:val="000000"/>
        </w:rPr>
        <w:t>Översyn av kostnader</w:t>
      </w:r>
      <w:bookmarkEnd w:id="9"/>
    </w:p>
    <w:p w14:paraId="3C7567DB" w14:textId="77777777" w:rsidR="00AC27A3" w:rsidRDefault="00C53759" w:rsidP="00642527">
      <w:pPr>
        <w:rPr>
          <w:rFonts w:ascii="Times New Roman" w:hAnsi="Times New Roman"/>
        </w:rPr>
      </w:pPr>
      <w:r>
        <w:rPr>
          <w:rFonts w:ascii="Times New Roman" w:hAnsi="Times New Roman"/>
        </w:rPr>
        <w:t>Inför Mittuniversitetets</w:t>
      </w:r>
      <w:r w:rsidR="00B85978">
        <w:rPr>
          <w:rFonts w:ascii="Times New Roman" w:hAnsi="Times New Roman"/>
        </w:rPr>
        <w:t xml:space="preserve"> införande av </w:t>
      </w:r>
      <w:proofErr w:type="spellStart"/>
      <w:r>
        <w:rPr>
          <w:rFonts w:ascii="Times New Roman" w:hAnsi="Times New Roman"/>
        </w:rPr>
        <w:t>SUHF´s</w:t>
      </w:r>
      <w:proofErr w:type="spellEnd"/>
      <w:r w:rsidR="00E30843">
        <w:rPr>
          <w:rFonts w:ascii="Times New Roman" w:hAnsi="Times New Roman"/>
        </w:rPr>
        <w:t xml:space="preserve"> r</w:t>
      </w:r>
      <w:r w:rsidR="002333F1">
        <w:rPr>
          <w:rFonts w:ascii="Times New Roman" w:hAnsi="Times New Roman"/>
        </w:rPr>
        <w:t>edovisningsmodell</w:t>
      </w:r>
      <w:r w:rsidR="00E30843">
        <w:rPr>
          <w:rFonts w:ascii="Times New Roman" w:hAnsi="Times New Roman"/>
        </w:rPr>
        <w:t xml:space="preserve"> </w:t>
      </w:r>
      <w:r w:rsidR="00C54AE0">
        <w:rPr>
          <w:rFonts w:ascii="Times New Roman" w:hAnsi="Times New Roman"/>
        </w:rPr>
        <w:t xml:space="preserve">gjordes </w:t>
      </w:r>
      <w:r w:rsidR="00E30843">
        <w:rPr>
          <w:rFonts w:ascii="Times New Roman" w:hAnsi="Times New Roman"/>
        </w:rPr>
        <w:t>en ö</w:t>
      </w:r>
      <w:r w:rsidR="00DC1913">
        <w:rPr>
          <w:rFonts w:ascii="Times New Roman" w:hAnsi="Times New Roman"/>
        </w:rPr>
        <w:t xml:space="preserve">versyn av </w:t>
      </w:r>
      <w:r>
        <w:rPr>
          <w:rFonts w:ascii="Times New Roman" w:hAnsi="Times New Roman"/>
        </w:rPr>
        <w:t xml:space="preserve">samtliga </w:t>
      </w:r>
      <w:r w:rsidR="00DC1913">
        <w:rPr>
          <w:rFonts w:ascii="Times New Roman" w:hAnsi="Times New Roman"/>
        </w:rPr>
        <w:t>kostnader</w:t>
      </w:r>
      <w:r w:rsidR="00E30843">
        <w:rPr>
          <w:rFonts w:ascii="Times New Roman" w:hAnsi="Times New Roman"/>
        </w:rPr>
        <w:t xml:space="preserve"> inom </w:t>
      </w:r>
      <w:r w:rsidR="008972A9">
        <w:rPr>
          <w:rFonts w:ascii="Times New Roman" w:hAnsi="Times New Roman"/>
        </w:rPr>
        <w:t>all</w:t>
      </w:r>
      <w:r w:rsidR="00642527">
        <w:rPr>
          <w:rFonts w:ascii="Times New Roman" w:hAnsi="Times New Roman"/>
        </w:rPr>
        <w:t xml:space="preserve"> stödverksamhet för enhetlig klassificering av d</w:t>
      </w:r>
      <w:r w:rsidR="003F099A">
        <w:rPr>
          <w:rFonts w:ascii="Times New Roman" w:hAnsi="Times New Roman"/>
        </w:rPr>
        <w:t>irekta och indirekta kostnader samt har därefter löpande setts över. En översyn av k</w:t>
      </w:r>
      <w:r w:rsidR="00642527">
        <w:rPr>
          <w:rFonts w:ascii="Times New Roman" w:hAnsi="Times New Roman"/>
        </w:rPr>
        <w:t xml:space="preserve">ostnader har också setts över för korrekt </w:t>
      </w:r>
      <w:r>
        <w:rPr>
          <w:rFonts w:ascii="Times New Roman" w:hAnsi="Times New Roman"/>
        </w:rPr>
        <w:t>uppdelning av vilka kostnader</w:t>
      </w:r>
      <w:r w:rsidR="00642527">
        <w:rPr>
          <w:rFonts w:ascii="Times New Roman" w:hAnsi="Times New Roman"/>
        </w:rPr>
        <w:t xml:space="preserve"> som</w:t>
      </w:r>
      <w:r>
        <w:rPr>
          <w:rFonts w:ascii="Times New Roman" w:hAnsi="Times New Roman"/>
        </w:rPr>
        <w:t>,</w:t>
      </w:r>
      <w:r w:rsidR="00642527">
        <w:rPr>
          <w:rFonts w:ascii="Times New Roman" w:hAnsi="Times New Roman"/>
        </w:rPr>
        <w:t xml:space="preserve"> enligt</w:t>
      </w:r>
      <w:r w:rsidR="00DE5E34">
        <w:rPr>
          <w:rFonts w:ascii="Times New Roman" w:hAnsi="Times New Roman"/>
        </w:rPr>
        <w:t xml:space="preserve"> </w:t>
      </w:r>
      <w:proofErr w:type="spellStart"/>
      <w:r w:rsidR="00DE5E34">
        <w:rPr>
          <w:rFonts w:ascii="Times New Roman" w:hAnsi="Times New Roman"/>
        </w:rPr>
        <w:t>SUHF´s</w:t>
      </w:r>
      <w:proofErr w:type="spellEnd"/>
      <w:r w:rsidR="00DE5E34">
        <w:rPr>
          <w:rFonts w:ascii="Times New Roman" w:hAnsi="Times New Roman"/>
        </w:rPr>
        <w:t xml:space="preserve"> modell</w:t>
      </w:r>
      <w:r w:rsidR="00642527">
        <w:rPr>
          <w:rFonts w:ascii="Times New Roman" w:hAnsi="Times New Roman"/>
        </w:rPr>
        <w:t xml:space="preserve">, ska ingå i internhyra.  </w:t>
      </w:r>
    </w:p>
    <w:p w14:paraId="7F1E1CD7" w14:textId="77777777" w:rsidR="006B669A" w:rsidRPr="00263881" w:rsidRDefault="008972A9" w:rsidP="00C30DDE">
      <w:pPr>
        <w:pStyle w:val="Rubrik2"/>
        <w:numPr>
          <w:ilvl w:val="1"/>
          <w:numId w:val="12"/>
        </w:numPr>
        <w:rPr>
          <w:rFonts w:ascii="Times New Roman" w:hAnsi="Times New Roman" w:cs="Times New Roman"/>
          <w:i w:val="0"/>
        </w:rPr>
      </w:pPr>
      <w:r>
        <w:rPr>
          <w:rFonts w:ascii="Times New Roman" w:hAnsi="Times New Roman" w:cs="Times New Roman"/>
          <w:i w:val="0"/>
        </w:rPr>
        <w:lastRenderedPageBreak/>
        <w:t xml:space="preserve"> </w:t>
      </w:r>
      <w:bookmarkStart w:id="10" w:name="_Toc58848010"/>
      <w:r w:rsidR="006B669A" w:rsidRPr="00263881">
        <w:rPr>
          <w:rFonts w:ascii="Times New Roman" w:hAnsi="Times New Roman" w:cs="Times New Roman"/>
          <w:i w:val="0"/>
        </w:rPr>
        <w:t xml:space="preserve">Fortsatt anpassning </w:t>
      </w:r>
      <w:r>
        <w:rPr>
          <w:rFonts w:ascii="Times New Roman" w:hAnsi="Times New Roman" w:cs="Times New Roman"/>
          <w:i w:val="0"/>
        </w:rPr>
        <w:t>av modellen</w:t>
      </w:r>
      <w:bookmarkEnd w:id="10"/>
    </w:p>
    <w:p w14:paraId="41454D9B" w14:textId="77777777" w:rsidR="00C003FD" w:rsidRDefault="006B669A" w:rsidP="00C30DDE">
      <w:pPr>
        <w:spacing w:after="0" w:line="240" w:lineRule="auto"/>
        <w:rPr>
          <w:rFonts w:ascii="Times New Roman" w:hAnsi="Times New Roman"/>
        </w:rPr>
      </w:pPr>
      <w:r>
        <w:rPr>
          <w:rFonts w:ascii="Times New Roman" w:hAnsi="Times New Roman"/>
        </w:rPr>
        <w:t xml:space="preserve">Huvuddelen av </w:t>
      </w:r>
      <w:proofErr w:type="spellStart"/>
      <w:r>
        <w:rPr>
          <w:rFonts w:ascii="Times New Roman" w:hAnsi="Times New Roman"/>
        </w:rPr>
        <w:t>SUHF´s</w:t>
      </w:r>
      <w:proofErr w:type="spellEnd"/>
      <w:r>
        <w:rPr>
          <w:rFonts w:ascii="Times New Roman" w:hAnsi="Times New Roman"/>
        </w:rPr>
        <w:t xml:space="preserve"> redovisningsmodell</w:t>
      </w:r>
      <w:r w:rsidR="00AC27A3">
        <w:rPr>
          <w:rFonts w:ascii="Times New Roman" w:hAnsi="Times New Roman"/>
        </w:rPr>
        <w:t xml:space="preserve"> </w:t>
      </w:r>
      <w:r w:rsidR="00C54AE0">
        <w:rPr>
          <w:rFonts w:ascii="Times New Roman" w:hAnsi="Times New Roman"/>
        </w:rPr>
        <w:t>infördes vid</w:t>
      </w:r>
      <w:r w:rsidR="00AC27A3">
        <w:rPr>
          <w:rFonts w:ascii="Times New Roman" w:hAnsi="Times New Roman"/>
        </w:rPr>
        <w:t xml:space="preserve"> Mittuniv</w:t>
      </w:r>
      <w:r>
        <w:rPr>
          <w:rFonts w:ascii="Times New Roman" w:hAnsi="Times New Roman"/>
        </w:rPr>
        <w:t>ersitetet 2011</w:t>
      </w:r>
      <w:r w:rsidR="00C54AE0">
        <w:rPr>
          <w:rFonts w:ascii="Times New Roman" w:hAnsi="Times New Roman"/>
        </w:rPr>
        <w:t xml:space="preserve"> förutom avskrivningar och semesterlöneskuld</w:t>
      </w:r>
      <w:r>
        <w:rPr>
          <w:rFonts w:ascii="Times New Roman" w:hAnsi="Times New Roman"/>
        </w:rPr>
        <w:t xml:space="preserve">. </w:t>
      </w:r>
      <w:r w:rsidR="00C003FD">
        <w:rPr>
          <w:rFonts w:ascii="Times New Roman" w:hAnsi="Times New Roman"/>
        </w:rPr>
        <w:t xml:space="preserve"> </w:t>
      </w:r>
      <w:r w:rsidR="00EA3007">
        <w:rPr>
          <w:rFonts w:ascii="Times New Roman" w:hAnsi="Times New Roman"/>
        </w:rPr>
        <w:t>Från och med 2013 räknas s</w:t>
      </w:r>
      <w:r w:rsidR="00C54AE0">
        <w:rPr>
          <w:rFonts w:ascii="Times New Roman" w:hAnsi="Times New Roman"/>
        </w:rPr>
        <w:t>tödverksamhetens</w:t>
      </w:r>
      <w:r w:rsidR="00C003FD">
        <w:rPr>
          <w:rFonts w:ascii="Times New Roman" w:hAnsi="Times New Roman"/>
        </w:rPr>
        <w:t xml:space="preserve"> andel av avskrivningar</w:t>
      </w:r>
      <w:r w:rsidR="00C6146C">
        <w:rPr>
          <w:rFonts w:ascii="Times New Roman" w:hAnsi="Times New Roman"/>
        </w:rPr>
        <w:t xml:space="preserve"> </w:t>
      </w:r>
      <w:r w:rsidR="008972A9">
        <w:rPr>
          <w:rFonts w:ascii="Times New Roman" w:hAnsi="Times New Roman"/>
        </w:rPr>
        <w:t>(</w:t>
      </w:r>
      <w:r w:rsidR="00C30DDE">
        <w:rPr>
          <w:rFonts w:ascii="Times New Roman" w:hAnsi="Times New Roman"/>
        </w:rPr>
        <w:t>för invest</w:t>
      </w:r>
      <w:r w:rsidR="00C54AE0">
        <w:rPr>
          <w:rFonts w:ascii="Times New Roman" w:hAnsi="Times New Roman"/>
        </w:rPr>
        <w:t>eringar från och med 2013</w:t>
      </w:r>
      <w:r w:rsidR="008972A9">
        <w:rPr>
          <w:rFonts w:ascii="Times New Roman" w:hAnsi="Times New Roman"/>
        </w:rPr>
        <w:t>)</w:t>
      </w:r>
      <w:r w:rsidR="00C30DDE">
        <w:rPr>
          <w:rFonts w:ascii="Times New Roman" w:hAnsi="Times New Roman"/>
        </w:rPr>
        <w:t xml:space="preserve"> in i de gemensamma administrationskostnaderna.</w:t>
      </w:r>
    </w:p>
    <w:p w14:paraId="1ABF038F" w14:textId="77777777" w:rsidR="00C003FD" w:rsidRDefault="00C30DDE" w:rsidP="00C30DDE">
      <w:pPr>
        <w:spacing w:after="0" w:line="240" w:lineRule="auto"/>
        <w:rPr>
          <w:rFonts w:ascii="Times New Roman" w:hAnsi="Times New Roman"/>
        </w:rPr>
      </w:pPr>
      <w:r>
        <w:rPr>
          <w:rFonts w:ascii="Times New Roman" w:hAnsi="Times New Roman"/>
        </w:rPr>
        <w:t>Kvar att tillföra är s</w:t>
      </w:r>
      <w:r w:rsidR="00C003FD">
        <w:rPr>
          <w:rFonts w:ascii="Times New Roman" w:hAnsi="Times New Roman"/>
        </w:rPr>
        <w:t>tödverksamhetens andel av semesterlöneskuld</w:t>
      </w:r>
      <w:r w:rsidR="00BA6651">
        <w:rPr>
          <w:rFonts w:ascii="Times New Roman" w:hAnsi="Times New Roman"/>
        </w:rPr>
        <w:t>.</w:t>
      </w:r>
    </w:p>
    <w:p w14:paraId="2CF84D08" w14:textId="77777777" w:rsidR="0080386C" w:rsidRDefault="0080386C" w:rsidP="00903A97">
      <w:pPr>
        <w:rPr>
          <w:rFonts w:ascii="Times New Roman" w:hAnsi="Times New Roman"/>
        </w:rPr>
      </w:pPr>
    </w:p>
    <w:p w14:paraId="4CAFFBB4" w14:textId="77777777" w:rsidR="004C29B3" w:rsidRDefault="004C29B3" w:rsidP="00903A97">
      <w:pPr>
        <w:rPr>
          <w:rFonts w:ascii="Times New Roman" w:hAnsi="Times New Roman"/>
        </w:rPr>
      </w:pPr>
    </w:p>
    <w:p w14:paraId="16581364" w14:textId="77777777" w:rsidR="000B4941" w:rsidRDefault="000B4941" w:rsidP="000B4941">
      <w:pPr>
        <w:pStyle w:val="Rubrik1"/>
        <w:rPr>
          <w:rFonts w:ascii="Times New Roman" w:hAnsi="Times New Roman" w:cs="Times New Roman"/>
          <w:color w:val="000000"/>
        </w:rPr>
      </w:pPr>
      <w:bookmarkStart w:id="11" w:name="_Toc58848011"/>
      <w:r>
        <w:rPr>
          <w:rFonts w:ascii="Times New Roman" w:hAnsi="Times New Roman" w:cs="Times New Roman"/>
          <w:color w:val="000000"/>
        </w:rPr>
        <w:t>4</w:t>
      </w:r>
      <w:r w:rsidRPr="00E30843">
        <w:rPr>
          <w:rFonts w:ascii="Times New Roman" w:hAnsi="Times New Roman" w:cs="Times New Roman"/>
          <w:color w:val="000000"/>
        </w:rPr>
        <w:t xml:space="preserve">. </w:t>
      </w:r>
      <w:r w:rsidR="00E951B2">
        <w:rPr>
          <w:rFonts w:ascii="Times New Roman" w:hAnsi="Times New Roman" w:cs="Times New Roman"/>
          <w:color w:val="000000"/>
        </w:rPr>
        <w:t xml:space="preserve">Procentsatser per </w:t>
      </w:r>
      <w:r w:rsidR="00C30DDE">
        <w:rPr>
          <w:rFonts w:ascii="Times New Roman" w:hAnsi="Times New Roman" w:cs="Times New Roman"/>
          <w:color w:val="000000"/>
        </w:rPr>
        <w:t>fakultet fr</w:t>
      </w:r>
      <w:r w:rsidR="00C54AE0">
        <w:rPr>
          <w:rFonts w:ascii="Times New Roman" w:hAnsi="Times New Roman" w:cs="Times New Roman"/>
          <w:color w:val="000000"/>
        </w:rPr>
        <w:t>ån</w:t>
      </w:r>
      <w:r w:rsidR="00C30DDE">
        <w:rPr>
          <w:rFonts w:ascii="Times New Roman" w:hAnsi="Times New Roman" w:cs="Times New Roman"/>
          <w:color w:val="000000"/>
        </w:rPr>
        <w:t xml:space="preserve"> o</w:t>
      </w:r>
      <w:r w:rsidR="00C54AE0">
        <w:rPr>
          <w:rFonts w:ascii="Times New Roman" w:hAnsi="Times New Roman" w:cs="Times New Roman"/>
          <w:color w:val="000000"/>
        </w:rPr>
        <w:t>ch</w:t>
      </w:r>
      <w:r w:rsidR="00C30DDE">
        <w:rPr>
          <w:rFonts w:ascii="Times New Roman" w:hAnsi="Times New Roman" w:cs="Times New Roman"/>
          <w:color w:val="000000"/>
        </w:rPr>
        <w:t xml:space="preserve"> m</w:t>
      </w:r>
      <w:r w:rsidR="00C54AE0">
        <w:rPr>
          <w:rFonts w:ascii="Times New Roman" w:hAnsi="Times New Roman" w:cs="Times New Roman"/>
          <w:color w:val="000000"/>
        </w:rPr>
        <w:t>ed</w:t>
      </w:r>
      <w:r w:rsidR="00C30DDE">
        <w:rPr>
          <w:rFonts w:ascii="Times New Roman" w:hAnsi="Times New Roman" w:cs="Times New Roman"/>
          <w:color w:val="000000"/>
        </w:rPr>
        <w:t xml:space="preserve"> 2013</w:t>
      </w:r>
      <w:bookmarkEnd w:id="11"/>
      <w:r w:rsidR="00E951B2">
        <w:rPr>
          <w:rFonts w:ascii="Times New Roman" w:hAnsi="Times New Roman" w:cs="Times New Roman"/>
          <w:color w:val="000000"/>
        </w:rPr>
        <w:t xml:space="preserve"> </w:t>
      </w:r>
    </w:p>
    <w:p w14:paraId="4BECA57D" w14:textId="77777777" w:rsidR="00C30DDE" w:rsidRDefault="00C54AE0" w:rsidP="00964BD0">
      <w:pPr>
        <w:rPr>
          <w:rFonts w:ascii="Times New Roman" w:hAnsi="Times New Roman"/>
          <w:lang w:eastAsia="sv-SE"/>
        </w:rPr>
      </w:pPr>
      <w:r>
        <w:rPr>
          <w:rFonts w:ascii="Times New Roman" w:hAnsi="Times New Roman"/>
          <w:lang w:eastAsia="sv-SE"/>
        </w:rPr>
        <w:t xml:space="preserve">Under 2011-2012 har institutionsspecifika procentsatser beräknats. Från och med 2013 </w:t>
      </w:r>
      <w:r w:rsidR="008972A9">
        <w:rPr>
          <w:rFonts w:ascii="Times New Roman" w:hAnsi="Times New Roman"/>
          <w:lang w:eastAsia="sv-SE"/>
        </w:rPr>
        <w:t xml:space="preserve">ersätts detta med </w:t>
      </w:r>
      <w:r>
        <w:rPr>
          <w:rFonts w:ascii="Times New Roman" w:hAnsi="Times New Roman"/>
          <w:lang w:eastAsia="sv-SE"/>
        </w:rPr>
        <w:t>fakultets</w:t>
      </w:r>
      <w:r w:rsidR="008972A9">
        <w:rPr>
          <w:rFonts w:ascii="Times New Roman" w:hAnsi="Times New Roman"/>
          <w:lang w:eastAsia="sv-SE"/>
        </w:rPr>
        <w:t xml:space="preserve">specifika </w:t>
      </w:r>
      <w:r>
        <w:rPr>
          <w:rFonts w:ascii="Times New Roman" w:hAnsi="Times New Roman"/>
          <w:lang w:eastAsia="sv-SE"/>
        </w:rPr>
        <w:t xml:space="preserve">procentsatser. </w:t>
      </w:r>
      <w:r w:rsidR="00E951B2">
        <w:rPr>
          <w:rFonts w:ascii="Times New Roman" w:hAnsi="Times New Roman"/>
          <w:lang w:eastAsia="sv-SE"/>
        </w:rPr>
        <w:t>Beslutade p</w:t>
      </w:r>
      <w:r w:rsidR="00E951B2" w:rsidRPr="00E951B2">
        <w:rPr>
          <w:rFonts w:ascii="Times New Roman" w:hAnsi="Times New Roman"/>
          <w:lang w:eastAsia="sv-SE"/>
        </w:rPr>
        <w:t xml:space="preserve">rocentpåslag per </w:t>
      </w:r>
      <w:r w:rsidR="003F099A">
        <w:rPr>
          <w:rFonts w:ascii="Times New Roman" w:hAnsi="Times New Roman"/>
          <w:lang w:eastAsia="sv-SE"/>
        </w:rPr>
        <w:t xml:space="preserve">år </w:t>
      </w:r>
      <w:r w:rsidR="00D63C3A">
        <w:rPr>
          <w:rFonts w:ascii="Times New Roman" w:hAnsi="Times New Roman"/>
          <w:lang w:eastAsia="sv-SE"/>
        </w:rPr>
        <w:t xml:space="preserve">framgår av </w:t>
      </w:r>
      <w:r>
        <w:rPr>
          <w:rFonts w:ascii="Times New Roman" w:hAnsi="Times New Roman"/>
          <w:lang w:eastAsia="sv-SE"/>
        </w:rPr>
        <w:t xml:space="preserve">beslutad </w:t>
      </w:r>
      <w:r w:rsidR="003F099A">
        <w:rPr>
          <w:rFonts w:ascii="Times New Roman" w:hAnsi="Times New Roman"/>
          <w:lang w:eastAsia="sv-SE"/>
        </w:rPr>
        <w:t xml:space="preserve">aktivitetsplan och intern fördelning av resurser </w:t>
      </w:r>
      <w:r w:rsidR="00C53759">
        <w:rPr>
          <w:rFonts w:ascii="Times New Roman" w:hAnsi="Times New Roman"/>
          <w:lang w:eastAsia="sv-SE"/>
        </w:rPr>
        <w:t>för året</w:t>
      </w:r>
      <w:r w:rsidR="00220875">
        <w:rPr>
          <w:rFonts w:ascii="Times New Roman" w:hAnsi="Times New Roman"/>
          <w:lang w:eastAsia="sv-SE"/>
        </w:rPr>
        <w:t>.</w:t>
      </w:r>
      <w:r w:rsidR="00C30DDE">
        <w:rPr>
          <w:rFonts w:ascii="Times New Roman" w:hAnsi="Times New Roman"/>
          <w:lang w:eastAsia="sv-SE"/>
        </w:rPr>
        <w:t xml:space="preserve"> </w:t>
      </w:r>
      <w:r>
        <w:rPr>
          <w:rFonts w:ascii="Times New Roman" w:hAnsi="Times New Roman"/>
          <w:lang w:eastAsia="sv-SE"/>
        </w:rPr>
        <w:t xml:space="preserve"> </w:t>
      </w:r>
    </w:p>
    <w:p w14:paraId="50959529" w14:textId="77777777" w:rsidR="00445F0E" w:rsidRDefault="00445F0E" w:rsidP="00964BD0">
      <w:pPr>
        <w:rPr>
          <w:rFonts w:ascii="Times New Roman" w:hAnsi="Times New Roman"/>
          <w:lang w:eastAsia="sv-SE"/>
        </w:rPr>
      </w:pPr>
    </w:p>
    <w:p w14:paraId="15881D30" w14:textId="77777777" w:rsidR="00445F0E" w:rsidRDefault="00445F0E" w:rsidP="00445F0E">
      <w:pPr>
        <w:pStyle w:val="Rubrik1"/>
        <w:rPr>
          <w:rFonts w:ascii="Times New Roman" w:hAnsi="Times New Roman" w:cs="Times New Roman"/>
          <w:color w:val="000000"/>
        </w:rPr>
      </w:pPr>
      <w:bookmarkStart w:id="12" w:name="_Toc58848012"/>
      <w:r>
        <w:rPr>
          <w:rFonts w:ascii="Times New Roman" w:hAnsi="Times New Roman" w:cs="Times New Roman"/>
          <w:color w:val="000000"/>
        </w:rPr>
        <w:t>5</w:t>
      </w:r>
      <w:r w:rsidRPr="00E30843">
        <w:rPr>
          <w:rFonts w:ascii="Times New Roman" w:hAnsi="Times New Roman" w:cs="Times New Roman"/>
          <w:color w:val="000000"/>
        </w:rPr>
        <w:t xml:space="preserve">. </w:t>
      </w:r>
      <w:r>
        <w:rPr>
          <w:rFonts w:ascii="Times New Roman" w:hAnsi="Times New Roman" w:cs="Times New Roman"/>
          <w:color w:val="000000"/>
        </w:rPr>
        <w:t>Direktdebitering av administration</w:t>
      </w:r>
      <w:r w:rsidR="000C279F">
        <w:rPr>
          <w:rFonts w:ascii="Times New Roman" w:hAnsi="Times New Roman" w:cs="Times New Roman"/>
          <w:color w:val="000000"/>
        </w:rPr>
        <w:t xml:space="preserve"> i kärnverksamhet</w:t>
      </w:r>
      <w:bookmarkEnd w:id="12"/>
    </w:p>
    <w:p w14:paraId="21D4855E" w14:textId="77777777" w:rsidR="00445F0E" w:rsidRPr="00BF59E2" w:rsidRDefault="00445F0E" w:rsidP="00445F0E">
      <w:pPr>
        <w:rPr>
          <w:rFonts w:ascii="Times New Roman" w:hAnsi="Times New Roman"/>
          <w:lang w:eastAsia="sv-SE"/>
        </w:rPr>
      </w:pPr>
      <w:r w:rsidRPr="00445F0E">
        <w:rPr>
          <w:rFonts w:ascii="Times New Roman" w:hAnsi="Times New Roman"/>
          <w:lang w:eastAsia="sv-SE"/>
        </w:rPr>
        <w:t xml:space="preserve">Inom vissa projekt </w:t>
      </w:r>
      <w:r w:rsidR="000C279F">
        <w:rPr>
          <w:rFonts w:ascii="Times New Roman" w:hAnsi="Times New Roman"/>
          <w:lang w:eastAsia="sv-SE"/>
        </w:rPr>
        <w:t xml:space="preserve">i kärnverksamheten </w:t>
      </w:r>
      <w:r w:rsidRPr="00445F0E">
        <w:rPr>
          <w:rFonts w:ascii="Times New Roman" w:hAnsi="Times New Roman"/>
          <w:lang w:eastAsia="sv-SE"/>
        </w:rPr>
        <w:t>f</w:t>
      </w:r>
      <w:r w:rsidR="00CB4B89">
        <w:rPr>
          <w:rFonts w:ascii="Times New Roman" w:hAnsi="Times New Roman"/>
          <w:lang w:eastAsia="sv-SE"/>
        </w:rPr>
        <w:t>örekommer</w:t>
      </w:r>
      <w:r w:rsidRPr="00445F0E">
        <w:rPr>
          <w:rFonts w:ascii="Times New Roman" w:hAnsi="Times New Roman"/>
          <w:lang w:eastAsia="sv-SE"/>
        </w:rPr>
        <w:t xml:space="preserve"> ytterligare administration utöver </w:t>
      </w:r>
      <w:r w:rsidR="00CB4B89">
        <w:rPr>
          <w:rFonts w:ascii="Times New Roman" w:hAnsi="Times New Roman"/>
          <w:lang w:eastAsia="sv-SE"/>
        </w:rPr>
        <w:t>vad</w:t>
      </w:r>
      <w:r w:rsidRPr="00445F0E">
        <w:rPr>
          <w:rFonts w:ascii="Times New Roman" w:hAnsi="Times New Roman"/>
          <w:lang w:eastAsia="sv-SE"/>
        </w:rPr>
        <w:t xml:space="preserve"> som erbjuds inom det generella påslaget. Detta är vanligast inom större projekt samt endast där detta är möjligt enligt finansiärers villkor. Från och med år 2021</w:t>
      </w:r>
      <w:r w:rsidR="00F03760">
        <w:rPr>
          <w:rFonts w:ascii="Times New Roman" w:hAnsi="Times New Roman"/>
          <w:lang w:eastAsia="sv-SE"/>
        </w:rPr>
        <w:t xml:space="preserve"> </w:t>
      </w:r>
      <w:r w:rsidRPr="00445F0E">
        <w:rPr>
          <w:rFonts w:ascii="Times New Roman" w:hAnsi="Times New Roman"/>
          <w:lang w:eastAsia="sv-SE"/>
        </w:rPr>
        <w:t>skall därmed direktdebitering av administration göras på projekt när så är möjligt.</w:t>
      </w:r>
      <w:r w:rsidR="00BF59E2">
        <w:rPr>
          <w:rFonts w:ascii="Times New Roman" w:hAnsi="Times New Roman"/>
          <w:lang w:eastAsia="sv-SE"/>
        </w:rPr>
        <w:t xml:space="preserve"> Dessa kostnader exkluderas därmed från gemensam administration som fördelas via schablonpåslag.</w:t>
      </w:r>
      <w:r w:rsidR="00CB4B89">
        <w:rPr>
          <w:rFonts w:ascii="Times New Roman" w:hAnsi="Times New Roman"/>
          <w:lang w:eastAsia="sv-SE"/>
        </w:rPr>
        <w:t xml:space="preserve"> Tidigare d v s fram till och med 2012 användes denna modell men utgick i samband med omorganisationen 2013.</w:t>
      </w:r>
    </w:p>
    <w:p w14:paraId="710D3333" w14:textId="77777777" w:rsidR="00445F0E" w:rsidRPr="00445F0E" w:rsidRDefault="00445F0E" w:rsidP="00445F0E">
      <w:pPr>
        <w:rPr>
          <w:lang w:eastAsia="sv-SE"/>
        </w:rPr>
      </w:pPr>
    </w:p>
    <w:p w14:paraId="22721361" w14:textId="77777777" w:rsidR="00BF3C3B" w:rsidRDefault="00445F0E" w:rsidP="00BF3C3B">
      <w:pPr>
        <w:pStyle w:val="Rubrik1"/>
        <w:rPr>
          <w:rFonts w:ascii="Times New Roman" w:hAnsi="Times New Roman" w:cs="Times New Roman"/>
          <w:color w:val="000000"/>
        </w:rPr>
      </w:pPr>
      <w:bookmarkStart w:id="13" w:name="_Toc58848013"/>
      <w:r>
        <w:rPr>
          <w:rFonts w:ascii="Times New Roman" w:hAnsi="Times New Roman" w:cs="Times New Roman"/>
          <w:color w:val="000000"/>
        </w:rPr>
        <w:t>6</w:t>
      </w:r>
      <w:r w:rsidR="00BF3C3B" w:rsidRPr="00964BD0">
        <w:rPr>
          <w:rFonts w:ascii="Times New Roman" w:hAnsi="Times New Roman" w:cs="Times New Roman"/>
          <w:color w:val="000000"/>
        </w:rPr>
        <w:t xml:space="preserve">. </w:t>
      </w:r>
      <w:r w:rsidR="00D1796C">
        <w:rPr>
          <w:rFonts w:ascii="Times New Roman" w:hAnsi="Times New Roman" w:cs="Times New Roman"/>
          <w:color w:val="000000"/>
        </w:rPr>
        <w:t xml:space="preserve">Modell för </w:t>
      </w:r>
      <w:r w:rsidR="00134ADD">
        <w:rPr>
          <w:rFonts w:ascii="Times New Roman" w:hAnsi="Times New Roman" w:cs="Times New Roman"/>
          <w:color w:val="000000"/>
        </w:rPr>
        <w:t xml:space="preserve">intern årskostnad </w:t>
      </w:r>
      <w:r w:rsidR="00D1796C">
        <w:rPr>
          <w:rFonts w:ascii="Times New Roman" w:hAnsi="Times New Roman" w:cs="Times New Roman"/>
          <w:color w:val="000000"/>
        </w:rPr>
        <w:t>l</w:t>
      </w:r>
      <w:r w:rsidR="00BF3C3B">
        <w:rPr>
          <w:rFonts w:ascii="Times New Roman" w:hAnsi="Times New Roman" w:cs="Times New Roman"/>
          <w:color w:val="000000"/>
        </w:rPr>
        <w:t>okal</w:t>
      </w:r>
      <w:r w:rsidR="00134ADD">
        <w:rPr>
          <w:rFonts w:ascii="Times New Roman" w:hAnsi="Times New Roman" w:cs="Times New Roman"/>
          <w:color w:val="000000"/>
        </w:rPr>
        <w:t>er</w:t>
      </w:r>
      <w:bookmarkEnd w:id="13"/>
    </w:p>
    <w:p w14:paraId="0D5E40CA" w14:textId="77777777" w:rsidR="009A0A66" w:rsidRDefault="00D1796C" w:rsidP="00BF3C3B">
      <w:pPr>
        <w:rPr>
          <w:rFonts w:ascii="Times New Roman" w:hAnsi="Times New Roman"/>
          <w:lang w:eastAsia="sv-SE"/>
        </w:rPr>
      </w:pPr>
      <w:r>
        <w:rPr>
          <w:rFonts w:ascii="Times New Roman" w:hAnsi="Times New Roman"/>
          <w:lang w:eastAsia="sv-SE"/>
        </w:rPr>
        <w:t xml:space="preserve">I SUHFS redovisningsmodell för full kostnadstäckning betraktas lokalkostnader </w:t>
      </w:r>
      <w:r w:rsidR="009A0A66">
        <w:rPr>
          <w:rFonts w:ascii="Times New Roman" w:hAnsi="Times New Roman"/>
          <w:lang w:eastAsia="sv-SE"/>
        </w:rPr>
        <w:t xml:space="preserve">i kärnverksamheten </w:t>
      </w:r>
      <w:r>
        <w:rPr>
          <w:rFonts w:ascii="Times New Roman" w:hAnsi="Times New Roman"/>
          <w:lang w:eastAsia="sv-SE"/>
        </w:rPr>
        <w:t xml:space="preserve">som direkta kostnader på kostnadsbärarna. </w:t>
      </w:r>
      <w:r w:rsidR="009A0A66">
        <w:rPr>
          <w:rFonts w:ascii="Times New Roman" w:hAnsi="Times New Roman"/>
          <w:lang w:eastAsia="sv-SE"/>
        </w:rPr>
        <w:t xml:space="preserve">Lokalkostnad för stödverksamhet räknas som indirekt kostnad. </w:t>
      </w:r>
    </w:p>
    <w:p w14:paraId="73E842F9" w14:textId="77777777" w:rsidR="005E5710" w:rsidRDefault="009A0A66" w:rsidP="00BF3C3B">
      <w:pPr>
        <w:rPr>
          <w:rFonts w:ascii="Times New Roman" w:hAnsi="Times New Roman"/>
          <w:lang w:eastAsia="sv-SE"/>
        </w:rPr>
      </w:pPr>
      <w:r>
        <w:rPr>
          <w:rFonts w:ascii="Times New Roman" w:hAnsi="Times New Roman"/>
          <w:lang w:eastAsia="sv-SE"/>
        </w:rPr>
        <w:t xml:space="preserve">Beräkning </w:t>
      </w:r>
      <w:r w:rsidR="00D1796C">
        <w:rPr>
          <w:rFonts w:ascii="Times New Roman" w:hAnsi="Times New Roman"/>
          <w:lang w:eastAsia="sv-SE"/>
        </w:rPr>
        <w:t>av int</w:t>
      </w:r>
      <w:r>
        <w:rPr>
          <w:rFonts w:ascii="Times New Roman" w:hAnsi="Times New Roman"/>
          <w:lang w:eastAsia="sv-SE"/>
        </w:rPr>
        <w:t>ern</w:t>
      </w:r>
      <w:r w:rsidR="00D1796C">
        <w:rPr>
          <w:rFonts w:ascii="Times New Roman" w:hAnsi="Times New Roman"/>
          <w:lang w:eastAsia="sv-SE"/>
        </w:rPr>
        <w:t>hyreskostnad utgå</w:t>
      </w:r>
      <w:r>
        <w:rPr>
          <w:rFonts w:ascii="Times New Roman" w:hAnsi="Times New Roman"/>
          <w:lang w:eastAsia="sv-SE"/>
        </w:rPr>
        <w:t>r</w:t>
      </w:r>
      <w:r w:rsidR="00D1796C">
        <w:rPr>
          <w:rFonts w:ascii="Times New Roman" w:hAnsi="Times New Roman"/>
          <w:lang w:eastAsia="sv-SE"/>
        </w:rPr>
        <w:t xml:space="preserve"> från verkliga lokalkostnader och årskostnaden för lokalhyran baseras på den förhyrda ytan och det interna kvadratmeterpriset. </w:t>
      </w:r>
      <w:r w:rsidR="000C4498">
        <w:rPr>
          <w:rFonts w:ascii="Times New Roman" w:hAnsi="Times New Roman"/>
          <w:lang w:eastAsia="sv-SE"/>
        </w:rPr>
        <w:t xml:space="preserve">Externa hyresintäkter ska </w:t>
      </w:r>
      <w:r w:rsidR="0078061F">
        <w:rPr>
          <w:rFonts w:ascii="Times New Roman" w:hAnsi="Times New Roman"/>
          <w:lang w:eastAsia="sv-SE"/>
        </w:rPr>
        <w:t>medräknas och reducerar inter</w:t>
      </w:r>
      <w:r w:rsidR="005D04D1">
        <w:rPr>
          <w:rFonts w:ascii="Times New Roman" w:hAnsi="Times New Roman"/>
          <w:lang w:eastAsia="sv-SE"/>
        </w:rPr>
        <w:t>n</w:t>
      </w:r>
      <w:r w:rsidR="0078061F">
        <w:rPr>
          <w:rFonts w:ascii="Times New Roman" w:hAnsi="Times New Roman"/>
          <w:lang w:eastAsia="sv-SE"/>
        </w:rPr>
        <w:t xml:space="preserve">hyran. </w:t>
      </w:r>
      <w:r w:rsidR="00D1796C">
        <w:rPr>
          <w:rFonts w:ascii="Times New Roman" w:hAnsi="Times New Roman"/>
          <w:lang w:eastAsia="sv-SE"/>
        </w:rPr>
        <w:t>Internhyran per kvadrat</w:t>
      </w:r>
      <w:r w:rsidR="0078061F">
        <w:rPr>
          <w:rFonts w:ascii="Times New Roman" w:hAnsi="Times New Roman"/>
          <w:lang w:eastAsia="sv-SE"/>
        </w:rPr>
        <w:t xml:space="preserve">meter beräknas på central nivå på universitetets fastighetsavdelning. </w:t>
      </w:r>
    </w:p>
    <w:p w14:paraId="305E3023" w14:textId="77777777" w:rsidR="007A4DE2" w:rsidRDefault="007A4DE2" w:rsidP="00BF3C3B">
      <w:pPr>
        <w:rPr>
          <w:rFonts w:ascii="Times New Roman" w:hAnsi="Times New Roman"/>
          <w:lang w:eastAsia="sv-SE"/>
        </w:rPr>
      </w:pPr>
      <w:r>
        <w:rPr>
          <w:rFonts w:ascii="Times New Roman" w:hAnsi="Times New Roman"/>
          <w:lang w:eastAsia="sv-SE"/>
        </w:rPr>
        <w:t xml:space="preserve">Universitetets </w:t>
      </w:r>
      <w:r w:rsidR="000C4498">
        <w:rPr>
          <w:rFonts w:ascii="Times New Roman" w:hAnsi="Times New Roman"/>
          <w:lang w:eastAsia="sv-SE"/>
        </w:rPr>
        <w:t xml:space="preserve">interna årskostnad per </w:t>
      </w:r>
      <w:r>
        <w:rPr>
          <w:rFonts w:ascii="Times New Roman" w:hAnsi="Times New Roman"/>
          <w:lang w:eastAsia="sv-SE"/>
        </w:rPr>
        <w:t xml:space="preserve">kvadratmeterkostnad för lokaler beräknas </w:t>
      </w:r>
      <w:r w:rsidR="005D04D1">
        <w:rPr>
          <w:rFonts w:ascii="Times New Roman" w:hAnsi="Times New Roman"/>
          <w:lang w:eastAsia="sv-SE"/>
        </w:rPr>
        <w:t xml:space="preserve">enligt </w:t>
      </w:r>
      <w:proofErr w:type="spellStart"/>
      <w:r w:rsidR="005D04D1">
        <w:rPr>
          <w:rFonts w:ascii="Times New Roman" w:hAnsi="Times New Roman"/>
          <w:lang w:eastAsia="sv-SE"/>
        </w:rPr>
        <w:t>SUHFs</w:t>
      </w:r>
      <w:proofErr w:type="spellEnd"/>
      <w:r w:rsidR="005D04D1">
        <w:rPr>
          <w:rFonts w:ascii="Times New Roman" w:hAnsi="Times New Roman"/>
          <w:lang w:eastAsia="sv-SE"/>
        </w:rPr>
        <w:t xml:space="preserve"> redovisningsmodell </w:t>
      </w:r>
      <w:r>
        <w:rPr>
          <w:rFonts w:ascii="Times New Roman" w:hAnsi="Times New Roman"/>
          <w:lang w:eastAsia="sv-SE"/>
        </w:rPr>
        <w:t>enligt nedan:</w:t>
      </w:r>
    </w:p>
    <w:p w14:paraId="286974ED" w14:textId="77777777" w:rsidR="007A4DE2" w:rsidRDefault="007A4DE2" w:rsidP="007A4DE2">
      <w:pPr>
        <w:numPr>
          <w:ilvl w:val="0"/>
          <w:numId w:val="4"/>
        </w:numPr>
        <w:spacing w:after="0" w:line="240" w:lineRule="auto"/>
        <w:rPr>
          <w:rFonts w:ascii="Times New Roman" w:hAnsi="Times New Roman"/>
          <w:lang w:eastAsia="sv-SE"/>
        </w:rPr>
      </w:pPr>
      <w:r>
        <w:rPr>
          <w:rFonts w:ascii="Times New Roman" w:hAnsi="Times New Roman"/>
          <w:lang w:eastAsia="sv-SE"/>
        </w:rPr>
        <w:t>Total hyreskostnad inklusive tillfälliga lokaler</w:t>
      </w:r>
    </w:p>
    <w:p w14:paraId="70B76323" w14:textId="77777777" w:rsidR="00220875" w:rsidRDefault="00220875" w:rsidP="007A4DE2">
      <w:pPr>
        <w:numPr>
          <w:ilvl w:val="0"/>
          <w:numId w:val="4"/>
        </w:numPr>
        <w:spacing w:after="0" w:line="240" w:lineRule="auto"/>
        <w:rPr>
          <w:rFonts w:ascii="Times New Roman" w:hAnsi="Times New Roman"/>
          <w:lang w:eastAsia="sv-SE"/>
        </w:rPr>
      </w:pPr>
      <w:r>
        <w:rPr>
          <w:rFonts w:ascii="Times New Roman" w:hAnsi="Times New Roman"/>
          <w:lang w:eastAsia="sv-SE"/>
        </w:rPr>
        <w:t xml:space="preserve">Media kostnader (el, vatten, värme, kyla </w:t>
      </w:r>
      <w:proofErr w:type="spellStart"/>
      <w:r>
        <w:rPr>
          <w:rFonts w:ascii="Times New Roman" w:hAnsi="Times New Roman"/>
          <w:lang w:eastAsia="sv-SE"/>
        </w:rPr>
        <w:t>etc</w:t>
      </w:r>
      <w:proofErr w:type="spellEnd"/>
      <w:r>
        <w:rPr>
          <w:rFonts w:ascii="Times New Roman" w:hAnsi="Times New Roman"/>
          <w:lang w:eastAsia="sv-SE"/>
        </w:rPr>
        <w:t>) på alla nivåer</w:t>
      </w:r>
    </w:p>
    <w:p w14:paraId="46633B03" w14:textId="77777777" w:rsidR="00220875" w:rsidRDefault="00220875" w:rsidP="007A4DE2">
      <w:pPr>
        <w:numPr>
          <w:ilvl w:val="0"/>
          <w:numId w:val="4"/>
        </w:numPr>
        <w:spacing w:after="0" w:line="240" w:lineRule="auto"/>
        <w:rPr>
          <w:rFonts w:ascii="Times New Roman" w:hAnsi="Times New Roman"/>
          <w:lang w:eastAsia="sv-SE"/>
        </w:rPr>
      </w:pPr>
      <w:r>
        <w:rPr>
          <w:rFonts w:ascii="Times New Roman" w:hAnsi="Times New Roman"/>
          <w:lang w:eastAsia="sv-SE"/>
        </w:rPr>
        <w:t>Reparationer och underhåll</w:t>
      </w:r>
    </w:p>
    <w:p w14:paraId="67DBC152" w14:textId="77777777" w:rsidR="00220875" w:rsidRDefault="00220875" w:rsidP="007A4DE2">
      <w:pPr>
        <w:numPr>
          <w:ilvl w:val="0"/>
          <w:numId w:val="4"/>
        </w:numPr>
        <w:spacing w:after="0" w:line="240" w:lineRule="auto"/>
        <w:rPr>
          <w:rFonts w:ascii="Times New Roman" w:hAnsi="Times New Roman"/>
          <w:lang w:eastAsia="sv-SE"/>
        </w:rPr>
      </w:pPr>
      <w:r>
        <w:rPr>
          <w:rFonts w:ascii="Times New Roman" w:hAnsi="Times New Roman"/>
          <w:lang w:eastAsia="sv-SE"/>
        </w:rPr>
        <w:t>Bevakning, larm/skalskydd</w:t>
      </w:r>
    </w:p>
    <w:p w14:paraId="749461D2" w14:textId="77777777" w:rsidR="00220875" w:rsidRDefault="00220875" w:rsidP="007A4DE2">
      <w:pPr>
        <w:numPr>
          <w:ilvl w:val="0"/>
          <w:numId w:val="4"/>
        </w:numPr>
        <w:spacing w:after="0" w:line="240" w:lineRule="auto"/>
        <w:rPr>
          <w:rFonts w:ascii="Times New Roman" w:hAnsi="Times New Roman"/>
          <w:lang w:eastAsia="sv-SE"/>
        </w:rPr>
      </w:pPr>
      <w:r>
        <w:rPr>
          <w:rFonts w:ascii="Times New Roman" w:hAnsi="Times New Roman"/>
          <w:lang w:eastAsia="sv-SE"/>
        </w:rPr>
        <w:t>Förprojektering</w:t>
      </w:r>
    </w:p>
    <w:p w14:paraId="7B7998DE" w14:textId="77777777" w:rsidR="00220875" w:rsidRDefault="00220875" w:rsidP="007A4DE2">
      <w:pPr>
        <w:numPr>
          <w:ilvl w:val="0"/>
          <w:numId w:val="4"/>
        </w:numPr>
        <w:spacing w:after="0" w:line="240" w:lineRule="auto"/>
        <w:rPr>
          <w:rFonts w:ascii="Times New Roman" w:hAnsi="Times New Roman"/>
          <w:lang w:eastAsia="sv-SE"/>
        </w:rPr>
      </w:pPr>
      <w:r>
        <w:rPr>
          <w:rFonts w:ascii="Times New Roman" w:hAnsi="Times New Roman"/>
          <w:lang w:eastAsia="sv-SE"/>
        </w:rPr>
        <w:t>Lokalvård</w:t>
      </w:r>
    </w:p>
    <w:p w14:paraId="02EA65ED" w14:textId="77777777" w:rsidR="00220875" w:rsidRDefault="00220875" w:rsidP="007A4DE2">
      <w:pPr>
        <w:numPr>
          <w:ilvl w:val="0"/>
          <w:numId w:val="4"/>
        </w:numPr>
        <w:spacing w:after="0" w:line="240" w:lineRule="auto"/>
        <w:rPr>
          <w:rFonts w:ascii="Times New Roman" w:hAnsi="Times New Roman"/>
          <w:lang w:eastAsia="sv-SE"/>
        </w:rPr>
      </w:pPr>
      <w:r>
        <w:rPr>
          <w:rFonts w:ascii="Times New Roman" w:hAnsi="Times New Roman"/>
          <w:lang w:eastAsia="sv-SE"/>
        </w:rPr>
        <w:t>Lokaltillbehör</w:t>
      </w:r>
    </w:p>
    <w:p w14:paraId="7554F083" w14:textId="77777777" w:rsidR="00381A63" w:rsidRDefault="00381A63" w:rsidP="007A4DE2">
      <w:pPr>
        <w:numPr>
          <w:ilvl w:val="0"/>
          <w:numId w:val="4"/>
        </w:numPr>
        <w:spacing w:after="0" w:line="240" w:lineRule="auto"/>
        <w:rPr>
          <w:rFonts w:ascii="Times New Roman" w:hAnsi="Times New Roman"/>
          <w:lang w:eastAsia="sv-SE"/>
        </w:rPr>
      </w:pPr>
      <w:r>
        <w:rPr>
          <w:rFonts w:ascii="Times New Roman" w:hAnsi="Times New Roman"/>
          <w:lang w:eastAsia="sv-SE"/>
        </w:rPr>
        <w:t>Intäkter extern uthyrning</w:t>
      </w:r>
    </w:p>
    <w:p w14:paraId="569BD35E" w14:textId="77777777" w:rsidR="005E5710" w:rsidRDefault="005E5710" w:rsidP="007A4DE2">
      <w:pPr>
        <w:numPr>
          <w:ilvl w:val="0"/>
          <w:numId w:val="4"/>
        </w:numPr>
        <w:spacing w:after="0" w:line="240" w:lineRule="auto"/>
        <w:rPr>
          <w:rFonts w:ascii="Times New Roman" w:hAnsi="Times New Roman"/>
          <w:lang w:eastAsia="sv-SE"/>
        </w:rPr>
      </w:pPr>
      <w:r>
        <w:rPr>
          <w:rFonts w:ascii="Times New Roman" w:hAnsi="Times New Roman"/>
          <w:lang w:eastAsia="sv-SE"/>
        </w:rPr>
        <w:t>Avskrivningar på förbättringsutgifter på annans fastighet som görs fr o m 2013</w:t>
      </w:r>
    </w:p>
    <w:p w14:paraId="33089EC8" w14:textId="77777777" w:rsidR="0078061F" w:rsidRDefault="0078061F" w:rsidP="007A4DE2">
      <w:pPr>
        <w:spacing w:after="0" w:line="240" w:lineRule="auto"/>
        <w:rPr>
          <w:rFonts w:ascii="Times New Roman" w:hAnsi="Times New Roman"/>
          <w:lang w:eastAsia="sv-SE"/>
        </w:rPr>
      </w:pPr>
    </w:p>
    <w:p w14:paraId="6CC02C21" w14:textId="77777777" w:rsidR="005D04D1" w:rsidRDefault="009A0A66" w:rsidP="00BF3C3B">
      <w:pPr>
        <w:rPr>
          <w:rFonts w:ascii="Times New Roman" w:hAnsi="Times New Roman"/>
          <w:lang w:eastAsia="sv-SE"/>
        </w:rPr>
      </w:pPr>
      <w:r>
        <w:rPr>
          <w:rFonts w:ascii="Times New Roman" w:hAnsi="Times New Roman"/>
          <w:lang w:eastAsia="sv-SE"/>
        </w:rPr>
        <w:lastRenderedPageBreak/>
        <w:t xml:space="preserve">Interndebitering av lokaler sker i två steg. Universitetets fastighetsavdelning debiterar </w:t>
      </w:r>
      <w:r w:rsidR="009668F3">
        <w:rPr>
          <w:rFonts w:ascii="Times New Roman" w:hAnsi="Times New Roman"/>
          <w:lang w:eastAsia="sv-SE"/>
        </w:rPr>
        <w:t>organisatoriska enheter inom</w:t>
      </w:r>
      <w:r>
        <w:rPr>
          <w:rFonts w:ascii="Times New Roman" w:hAnsi="Times New Roman"/>
          <w:lang w:eastAsia="sv-SE"/>
        </w:rPr>
        <w:t xml:space="preserve"> kärn- och stödverksamhet för faktiskt nyttjade lokaler. </w:t>
      </w:r>
      <w:r w:rsidR="00134ADD">
        <w:rPr>
          <w:rFonts w:ascii="Times New Roman" w:hAnsi="Times New Roman"/>
          <w:lang w:eastAsia="sv-SE"/>
        </w:rPr>
        <w:t xml:space="preserve"> Inom </w:t>
      </w:r>
      <w:r w:rsidR="005D04D1">
        <w:rPr>
          <w:rFonts w:ascii="Times New Roman" w:hAnsi="Times New Roman"/>
          <w:lang w:eastAsia="sv-SE"/>
        </w:rPr>
        <w:t>kärn- och stödverksamheten</w:t>
      </w:r>
      <w:r w:rsidR="00134ADD">
        <w:rPr>
          <w:rFonts w:ascii="Times New Roman" w:hAnsi="Times New Roman"/>
          <w:lang w:eastAsia="sv-SE"/>
        </w:rPr>
        <w:t xml:space="preserve"> fördelas sedan kostnaden vidare till kor</w:t>
      </w:r>
      <w:r w:rsidR="005D04D1">
        <w:rPr>
          <w:rFonts w:ascii="Times New Roman" w:hAnsi="Times New Roman"/>
          <w:lang w:eastAsia="sv-SE"/>
        </w:rPr>
        <w:t xml:space="preserve">rekt verksamhet och aktivitet förutom inom förvaltningens och bibliotekets ordinarie verksamhet där lokalkostnaderna för ordinarie administration ligger samlade på övergripande organisatorisk enhet. </w:t>
      </w:r>
    </w:p>
    <w:p w14:paraId="2369E726" w14:textId="77777777" w:rsidR="0000631D" w:rsidRDefault="00445F0E" w:rsidP="0000631D">
      <w:pPr>
        <w:pStyle w:val="Rubrik2"/>
        <w:rPr>
          <w:rFonts w:ascii="Times New Roman" w:hAnsi="Times New Roman" w:cs="Times New Roman"/>
          <w:i w:val="0"/>
        </w:rPr>
      </w:pPr>
      <w:bookmarkStart w:id="14" w:name="_Toc58848014"/>
      <w:r>
        <w:rPr>
          <w:rFonts w:ascii="Times New Roman" w:hAnsi="Times New Roman" w:cs="Times New Roman"/>
          <w:i w:val="0"/>
        </w:rPr>
        <w:t>6</w:t>
      </w:r>
      <w:r w:rsidR="0062076E">
        <w:rPr>
          <w:rFonts w:ascii="Times New Roman" w:hAnsi="Times New Roman" w:cs="Times New Roman"/>
          <w:i w:val="0"/>
        </w:rPr>
        <w:t xml:space="preserve">.1 Fördelningsmodell </w:t>
      </w:r>
      <w:r w:rsidR="005D04D1">
        <w:rPr>
          <w:rFonts w:ascii="Times New Roman" w:hAnsi="Times New Roman" w:cs="Times New Roman"/>
          <w:i w:val="0"/>
        </w:rPr>
        <w:t>lokaler</w:t>
      </w:r>
      <w:bookmarkEnd w:id="14"/>
    </w:p>
    <w:p w14:paraId="30D56BB5" w14:textId="77777777" w:rsidR="00BD74AB" w:rsidRPr="00BD74AB" w:rsidRDefault="00BD74AB" w:rsidP="00BD74AB">
      <w:pPr>
        <w:rPr>
          <w:rFonts w:ascii="Times New Roman" w:hAnsi="Times New Roman"/>
          <w:lang w:eastAsia="sv-SE"/>
        </w:rPr>
      </w:pPr>
      <w:r w:rsidRPr="00BD74AB">
        <w:rPr>
          <w:rFonts w:ascii="Times New Roman" w:hAnsi="Times New Roman"/>
          <w:lang w:eastAsia="sv-SE"/>
        </w:rPr>
        <w:t>SUHF rekommenderar följande metoder för fördelning och bokföring av lokalkostnader:</w:t>
      </w:r>
    </w:p>
    <w:p w14:paraId="0691BC80" w14:textId="77777777" w:rsidR="00BD74AB" w:rsidRDefault="00BD74AB" w:rsidP="00BD74AB">
      <w:pPr>
        <w:spacing w:after="0"/>
        <w:rPr>
          <w:rFonts w:ascii="Times New Roman" w:hAnsi="Times New Roman"/>
          <w:lang w:eastAsia="sv-SE"/>
        </w:rPr>
      </w:pPr>
      <w:r w:rsidRPr="00BD74AB">
        <w:rPr>
          <w:rFonts w:ascii="Times New Roman" w:hAnsi="Times New Roman"/>
          <w:lang w:eastAsia="sv-SE"/>
        </w:rPr>
        <w:t>1.  Faktiskt loka</w:t>
      </w:r>
      <w:r>
        <w:rPr>
          <w:rFonts w:ascii="Times New Roman" w:hAnsi="Times New Roman"/>
          <w:lang w:eastAsia="sv-SE"/>
        </w:rPr>
        <w:t>lutnyttjande per kostnadsbärare</w:t>
      </w:r>
    </w:p>
    <w:p w14:paraId="1FF92164" w14:textId="77777777" w:rsidR="00BD74AB" w:rsidRPr="00BD74AB" w:rsidRDefault="00BD74AB" w:rsidP="00BD74AB">
      <w:pPr>
        <w:spacing w:after="0"/>
        <w:rPr>
          <w:rFonts w:ascii="Times New Roman" w:hAnsi="Times New Roman"/>
          <w:lang w:eastAsia="sv-SE"/>
        </w:rPr>
      </w:pPr>
      <w:r w:rsidRPr="00BD74AB">
        <w:rPr>
          <w:rFonts w:ascii="Times New Roman" w:hAnsi="Times New Roman"/>
          <w:lang w:eastAsia="sv-SE"/>
        </w:rPr>
        <w:t>2.  Påläggsmetod, t ex pålägg efter lönekostnad eller antal anställda per kostnadsbärare</w:t>
      </w:r>
    </w:p>
    <w:p w14:paraId="3382B738" w14:textId="77777777" w:rsidR="00BD74AB" w:rsidRPr="00BD74AB" w:rsidRDefault="00BD74AB" w:rsidP="00BD74AB">
      <w:pPr>
        <w:rPr>
          <w:rFonts w:ascii="Times New Roman" w:hAnsi="Times New Roman"/>
          <w:lang w:eastAsia="sv-SE"/>
        </w:rPr>
      </w:pPr>
      <w:r w:rsidRPr="00BD74AB">
        <w:rPr>
          <w:rFonts w:ascii="Times New Roman" w:hAnsi="Times New Roman"/>
          <w:lang w:eastAsia="sv-SE"/>
        </w:rPr>
        <w:t>3.  Kombination av båda metoderna</w:t>
      </w:r>
    </w:p>
    <w:p w14:paraId="38BBBA88" w14:textId="77777777" w:rsidR="005D04D1" w:rsidRPr="00263881" w:rsidRDefault="00445F0E" w:rsidP="005D04D1">
      <w:pPr>
        <w:pStyle w:val="Rubrik3"/>
        <w:rPr>
          <w:rFonts w:ascii="Times New Roman" w:hAnsi="Times New Roman" w:cs="Times New Roman"/>
        </w:rPr>
      </w:pPr>
      <w:bookmarkStart w:id="15" w:name="_Toc58848015"/>
      <w:r>
        <w:rPr>
          <w:rFonts w:ascii="Times New Roman" w:hAnsi="Times New Roman" w:cs="Times New Roman"/>
        </w:rPr>
        <w:t>6</w:t>
      </w:r>
      <w:r w:rsidR="005D04D1">
        <w:rPr>
          <w:rFonts w:ascii="Times New Roman" w:hAnsi="Times New Roman" w:cs="Times New Roman"/>
        </w:rPr>
        <w:t>.1.1</w:t>
      </w:r>
      <w:r w:rsidR="005D04D1" w:rsidRPr="00263881">
        <w:rPr>
          <w:rFonts w:ascii="Times New Roman" w:hAnsi="Times New Roman" w:cs="Times New Roman"/>
        </w:rPr>
        <w:tab/>
      </w:r>
      <w:r w:rsidR="005D04D1">
        <w:rPr>
          <w:rFonts w:ascii="Times New Roman" w:hAnsi="Times New Roman" w:cs="Times New Roman"/>
        </w:rPr>
        <w:t>Fördelningsmodell kontorskostnad</w:t>
      </w:r>
      <w:bookmarkEnd w:id="15"/>
    </w:p>
    <w:p w14:paraId="14EFCF6C" w14:textId="7317D7EF" w:rsidR="00781D2B" w:rsidRDefault="00BD74AB">
      <w:pPr>
        <w:rPr>
          <w:rFonts w:ascii="Times New Roman" w:hAnsi="Times New Roman"/>
        </w:rPr>
      </w:pPr>
      <w:r>
        <w:rPr>
          <w:rFonts w:ascii="Times New Roman" w:hAnsi="Times New Roman"/>
        </w:rPr>
        <w:t>Mittuniversitetet har t o</w:t>
      </w:r>
      <w:r w:rsidR="00781D2B">
        <w:rPr>
          <w:rFonts w:ascii="Times New Roman" w:hAnsi="Times New Roman"/>
        </w:rPr>
        <w:t xml:space="preserve"> </w:t>
      </w:r>
      <w:r>
        <w:rPr>
          <w:rFonts w:ascii="Times New Roman" w:hAnsi="Times New Roman"/>
        </w:rPr>
        <w:t>m 2013 använt en metod för fördelning av konto</w:t>
      </w:r>
      <w:r w:rsidR="00781D2B">
        <w:rPr>
          <w:rFonts w:ascii="Times New Roman" w:hAnsi="Times New Roman"/>
        </w:rPr>
        <w:t>rskostnader med schablonberäknad</w:t>
      </w:r>
      <w:r>
        <w:rPr>
          <w:rFonts w:ascii="Times New Roman" w:hAnsi="Times New Roman"/>
        </w:rPr>
        <w:t xml:space="preserve"> kostnad per kontor och person per avdelning. Från och med 2014 </w:t>
      </w:r>
      <w:r w:rsidR="00F41195">
        <w:rPr>
          <w:rFonts w:ascii="Times New Roman" w:hAnsi="Times New Roman"/>
        </w:rPr>
        <w:t>har</w:t>
      </w:r>
      <w:r>
        <w:rPr>
          <w:rFonts w:ascii="Times New Roman" w:hAnsi="Times New Roman"/>
        </w:rPr>
        <w:t xml:space="preserve"> universitetet </w:t>
      </w:r>
      <w:r w:rsidR="00F41195">
        <w:rPr>
          <w:rFonts w:ascii="Times New Roman" w:hAnsi="Times New Roman"/>
        </w:rPr>
        <w:t xml:space="preserve">bytt </w:t>
      </w:r>
      <w:r>
        <w:rPr>
          <w:rFonts w:ascii="Times New Roman" w:hAnsi="Times New Roman"/>
        </w:rPr>
        <w:t xml:space="preserve">till </w:t>
      </w:r>
      <w:proofErr w:type="spellStart"/>
      <w:r>
        <w:rPr>
          <w:rFonts w:ascii="Times New Roman" w:hAnsi="Times New Roman"/>
        </w:rPr>
        <w:t>SUHFs</w:t>
      </w:r>
      <w:proofErr w:type="spellEnd"/>
      <w:r>
        <w:rPr>
          <w:rFonts w:ascii="Times New Roman" w:hAnsi="Times New Roman"/>
        </w:rPr>
        <w:t xml:space="preserve"> re</w:t>
      </w:r>
      <w:r w:rsidR="00134ADD">
        <w:rPr>
          <w:rFonts w:ascii="Times New Roman" w:hAnsi="Times New Roman"/>
        </w:rPr>
        <w:t>ko</w:t>
      </w:r>
      <w:r w:rsidR="0062076E">
        <w:rPr>
          <w:rFonts w:ascii="Times New Roman" w:hAnsi="Times New Roman"/>
        </w:rPr>
        <w:t xml:space="preserve">mmenderade </w:t>
      </w:r>
      <w:r w:rsidR="00134ADD">
        <w:rPr>
          <w:rFonts w:ascii="Times New Roman" w:hAnsi="Times New Roman"/>
        </w:rPr>
        <w:t xml:space="preserve">modell nummer </w:t>
      </w:r>
      <w:r w:rsidR="00E745D8">
        <w:rPr>
          <w:rFonts w:ascii="Times New Roman" w:hAnsi="Times New Roman"/>
        </w:rPr>
        <w:t xml:space="preserve">2 ovan d v s </w:t>
      </w:r>
      <w:r>
        <w:rPr>
          <w:rFonts w:ascii="Times New Roman" w:hAnsi="Times New Roman"/>
        </w:rPr>
        <w:t>påläggsmetod med procentue</w:t>
      </w:r>
      <w:r w:rsidR="00781D2B">
        <w:rPr>
          <w:rFonts w:ascii="Times New Roman" w:hAnsi="Times New Roman"/>
        </w:rPr>
        <w:t>llt påslag på lönekostnad. Detta innebär att samma modell används för fördelning av per</w:t>
      </w:r>
      <w:r w:rsidR="008D1347">
        <w:rPr>
          <w:rFonts w:ascii="Times New Roman" w:hAnsi="Times New Roman"/>
        </w:rPr>
        <w:t>sonalens kostnad för kontor som för fördelning av</w:t>
      </w:r>
      <w:r w:rsidR="00781D2B">
        <w:rPr>
          <w:rFonts w:ascii="Times New Roman" w:hAnsi="Times New Roman"/>
        </w:rPr>
        <w:t xml:space="preserve"> overhead (OH) per kostnadsbärare. </w:t>
      </w:r>
      <w:r w:rsidR="008D1347">
        <w:rPr>
          <w:rFonts w:ascii="Times New Roman" w:hAnsi="Times New Roman"/>
        </w:rPr>
        <w:t xml:space="preserve">Fördelning av kostnaderna till rätt verksamhet och aktivitet sker automatiskt via trigger en gång per månad. </w:t>
      </w:r>
      <w:r w:rsidR="00781D2B">
        <w:rPr>
          <w:rFonts w:ascii="Times New Roman" w:hAnsi="Times New Roman"/>
        </w:rPr>
        <w:t xml:space="preserve">Skillnaden är att kontorskostnad fördelas på </w:t>
      </w:r>
      <w:r w:rsidR="00781D2B" w:rsidRPr="005D04D1">
        <w:rPr>
          <w:rFonts w:ascii="Times New Roman" w:hAnsi="Times New Roman"/>
        </w:rPr>
        <w:t xml:space="preserve">lönekostnaden </w:t>
      </w:r>
      <w:r w:rsidR="00F36A7E">
        <w:rPr>
          <w:rFonts w:ascii="Times New Roman" w:hAnsi="Times New Roman"/>
        </w:rPr>
        <w:t xml:space="preserve">på </w:t>
      </w:r>
      <w:r w:rsidR="0062076E" w:rsidRPr="005D04D1">
        <w:rPr>
          <w:rFonts w:ascii="Times New Roman" w:hAnsi="Times New Roman"/>
        </w:rPr>
        <w:t xml:space="preserve">konto </w:t>
      </w:r>
      <w:r w:rsidR="004C2E64" w:rsidRPr="005D04D1">
        <w:rPr>
          <w:rFonts w:ascii="Times New Roman" w:hAnsi="Times New Roman"/>
        </w:rPr>
        <w:t>4000–4061</w:t>
      </w:r>
      <w:r w:rsidR="0073610E">
        <w:rPr>
          <w:rFonts w:ascii="Times New Roman" w:hAnsi="Times New Roman"/>
        </w:rPr>
        <w:t xml:space="preserve"> exkl</w:t>
      </w:r>
      <w:r w:rsidR="004C2E64">
        <w:rPr>
          <w:rFonts w:ascii="Times New Roman" w:hAnsi="Times New Roman"/>
        </w:rPr>
        <w:t>usive</w:t>
      </w:r>
      <w:r w:rsidR="0073610E">
        <w:rPr>
          <w:rFonts w:ascii="Times New Roman" w:hAnsi="Times New Roman"/>
        </w:rPr>
        <w:t xml:space="preserve"> 4051</w:t>
      </w:r>
      <w:r w:rsidR="00F36A7E">
        <w:rPr>
          <w:rFonts w:ascii="Times New Roman" w:hAnsi="Times New Roman"/>
        </w:rPr>
        <w:t xml:space="preserve"> och overhead fördelas på konto 4000-4067. Dessutom fördelas kostnader</w:t>
      </w:r>
      <w:r w:rsidR="0062076E" w:rsidRPr="005D04D1">
        <w:rPr>
          <w:rFonts w:ascii="Times New Roman" w:hAnsi="Times New Roman"/>
        </w:rPr>
        <w:t xml:space="preserve"> </w:t>
      </w:r>
      <w:r w:rsidR="00781D2B" w:rsidRPr="005D04D1">
        <w:rPr>
          <w:rFonts w:ascii="Times New Roman" w:hAnsi="Times New Roman"/>
        </w:rPr>
        <w:t>för</w:t>
      </w:r>
      <w:r w:rsidR="00781D2B">
        <w:rPr>
          <w:rFonts w:ascii="Times New Roman" w:hAnsi="Times New Roman"/>
        </w:rPr>
        <w:t xml:space="preserve"> samtlig personal inom både kärn- och stödverksamhet medan OH-kostnad endast fördelas på kärnverksamhetens löner.</w:t>
      </w:r>
      <w:r w:rsidR="0062076E">
        <w:rPr>
          <w:rFonts w:ascii="Times New Roman" w:hAnsi="Times New Roman"/>
        </w:rPr>
        <w:t xml:space="preserve"> </w:t>
      </w:r>
    </w:p>
    <w:p w14:paraId="4EF517CF" w14:textId="55A3E082" w:rsidR="005D04D1" w:rsidRDefault="00BD74AB">
      <w:pPr>
        <w:rPr>
          <w:rFonts w:ascii="Times New Roman" w:hAnsi="Times New Roman"/>
        </w:rPr>
      </w:pPr>
      <w:r>
        <w:rPr>
          <w:rFonts w:ascii="Times New Roman" w:hAnsi="Times New Roman"/>
        </w:rPr>
        <w:t xml:space="preserve">Procentsats för påslag för kontor beräknas </w:t>
      </w:r>
      <w:r w:rsidR="0086136B">
        <w:rPr>
          <w:rFonts w:ascii="Times New Roman" w:hAnsi="Times New Roman"/>
        </w:rPr>
        <w:t xml:space="preserve">enligt fastställd beräkningsmodell. Separat procentsats beräknas </w:t>
      </w:r>
      <w:r w:rsidR="00E745D8">
        <w:rPr>
          <w:rFonts w:ascii="Times New Roman" w:hAnsi="Times New Roman"/>
        </w:rPr>
        <w:t>per</w:t>
      </w:r>
      <w:r w:rsidR="00E745D8" w:rsidRPr="0057133F">
        <w:rPr>
          <w:rFonts w:ascii="Times New Roman" w:hAnsi="Times New Roman"/>
        </w:rPr>
        <w:t xml:space="preserve"> </w:t>
      </w:r>
      <w:r w:rsidR="0077168E" w:rsidRPr="0057133F">
        <w:rPr>
          <w:rFonts w:ascii="Times New Roman" w:hAnsi="Times New Roman"/>
        </w:rPr>
        <w:t>institution</w:t>
      </w:r>
      <w:r w:rsidR="00E745D8" w:rsidRPr="0057133F">
        <w:rPr>
          <w:rFonts w:ascii="Times New Roman" w:hAnsi="Times New Roman"/>
        </w:rPr>
        <w:t xml:space="preserve"> </w:t>
      </w:r>
      <w:r w:rsidR="00E745D8">
        <w:rPr>
          <w:rFonts w:ascii="Times New Roman" w:hAnsi="Times New Roman"/>
        </w:rPr>
        <w:t xml:space="preserve">inom respektive fakultet samt en gemensam procentsats </w:t>
      </w:r>
      <w:r w:rsidR="0086136B">
        <w:rPr>
          <w:rFonts w:ascii="Times New Roman" w:hAnsi="Times New Roman"/>
        </w:rPr>
        <w:t xml:space="preserve">beräknas </w:t>
      </w:r>
      <w:r w:rsidR="00E745D8">
        <w:rPr>
          <w:rFonts w:ascii="Times New Roman" w:hAnsi="Times New Roman"/>
        </w:rPr>
        <w:t>förvaltning</w:t>
      </w:r>
      <w:r w:rsidR="0077168E">
        <w:rPr>
          <w:rFonts w:ascii="Times New Roman" w:hAnsi="Times New Roman"/>
        </w:rPr>
        <w:t>en</w:t>
      </w:r>
      <w:r w:rsidR="00E745D8">
        <w:rPr>
          <w:rFonts w:ascii="Times New Roman" w:hAnsi="Times New Roman"/>
        </w:rPr>
        <w:t xml:space="preserve">. Beräkningar utgår från budgetvärden för året för </w:t>
      </w:r>
      <w:r w:rsidR="0077168E">
        <w:rPr>
          <w:rFonts w:ascii="Times New Roman" w:hAnsi="Times New Roman"/>
        </w:rPr>
        <w:t>enhetens</w:t>
      </w:r>
      <w:r w:rsidR="00E745D8">
        <w:rPr>
          <w:rFonts w:ascii="Times New Roman" w:hAnsi="Times New Roman"/>
        </w:rPr>
        <w:t xml:space="preserve"> kontorskostnad samt total lönekostnad för samtlig personal</w:t>
      </w:r>
      <w:r w:rsidR="0052514F">
        <w:rPr>
          <w:rFonts w:ascii="Times New Roman" w:hAnsi="Times New Roman"/>
        </w:rPr>
        <w:t xml:space="preserve"> med hemvist på enheten inkl</w:t>
      </w:r>
      <w:r w:rsidR="004C2E64">
        <w:rPr>
          <w:rFonts w:ascii="Times New Roman" w:hAnsi="Times New Roman"/>
        </w:rPr>
        <w:t>usive</w:t>
      </w:r>
      <w:r w:rsidR="0052514F">
        <w:rPr>
          <w:rFonts w:ascii="Times New Roman" w:hAnsi="Times New Roman"/>
        </w:rPr>
        <w:t xml:space="preserve"> vissa justeringar</w:t>
      </w:r>
      <w:r w:rsidR="00E745D8">
        <w:rPr>
          <w:rFonts w:ascii="Times New Roman" w:hAnsi="Times New Roman"/>
        </w:rPr>
        <w:t>.</w:t>
      </w:r>
      <w:r w:rsidR="004D420D">
        <w:rPr>
          <w:rFonts w:ascii="Times New Roman" w:hAnsi="Times New Roman"/>
        </w:rPr>
        <w:t xml:space="preserve"> Inom förvaltningen ligger all lokalkostnad för ordinarie stödverksamhet (exkl</w:t>
      </w:r>
      <w:r w:rsidR="004C2E64">
        <w:rPr>
          <w:rFonts w:ascii="Times New Roman" w:hAnsi="Times New Roman"/>
        </w:rPr>
        <w:t>usive</w:t>
      </w:r>
      <w:r w:rsidR="004D420D">
        <w:rPr>
          <w:rFonts w:ascii="Times New Roman" w:hAnsi="Times New Roman"/>
        </w:rPr>
        <w:t xml:space="preserve"> projekt) samlat på en organisatorisk enhet.</w:t>
      </w:r>
    </w:p>
    <w:p w14:paraId="2B9F352B" w14:textId="77777777" w:rsidR="005D04D1" w:rsidRPr="004E6BEC" w:rsidRDefault="005D04D1">
      <w:pPr>
        <w:rPr>
          <w:rFonts w:ascii="Times New Roman" w:hAnsi="Times New Roman"/>
          <w:b/>
          <w:i/>
        </w:rPr>
      </w:pPr>
      <w:r w:rsidRPr="004E6BEC">
        <w:rPr>
          <w:rFonts w:ascii="Times New Roman" w:hAnsi="Times New Roman"/>
          <w:b/>
          <w:i/>
        </w:rPr>
        <w:t xml:space="preserve">Beräkningsmodell påslagsprocent kontor: </w:t>
      </w:r>
    </w:p>
    <w:p w14:paraId="15C78BB7" w14:textId="77777777" w:rsidR="004C29B3" w:rsidRDefault="005D04D1" w:rsidP="004C29B3">
      <w:pPr>
        <w:spacing w:after="0"/>
        <w:ind w:right="-426"/>
        <w:rPr>
          <w:rFonts w:ascii="Times New Roman" w:hAnsi="Times New Roman"/>
          <w:i/>
        </w:rPr>
      </w:pPr>
      <w:r w:rsidRPr="004E6BEC">
        <w:rPr>
          <w:rFonts w:ascii="Times New Roman" w:hAnsi="Times New Roman"/>
          <w:i/>
          <w:u w:val="single"/>
        </w:rPr>
        <w:t xml:space="preserve">Summa </w:t>
      </w:r>
      <w:r w:rsidR="0086136B">
        <w:rPr>
          <w:rFonts w:ascii="Times New Roman" w:hAnsi="Times New Roman"/>
          <w:i/>
          <w:u w:val="single"/>
        </w:rPr>
        <w:t>årskostnad kontor</w:t>
      </w:r>
      <w:r w:rsidRPr="004E6BEC">
        <w:rPr>
          <w:rFonts w:ascii="Times New Roman" w:hAnsi="Times New Roman"/>
          <w:i/>
          <w:u w:val="single"/>
        </w:rPr>
        <w:t xml:space="preserve"> (konto 95012) per </w:t>
      </w:r>
      <w:r w:rsidR="004C29B3">
        <w:rPr>
          <w:rFonts w:ascii="Times New Roman" w:hAnsi="Times New Roman"/>
          <w:i/>
          <w:u w:val="single"/>
        </w:rPr>
        <w:t>inst.</w:t>
      </w:r>
      <w:r w:rsidR="0077168E">
        <w:rPr>
          <w:rFonts w:ascii="Times New Roman" w:hAnsi="Times New Roman"/>
          <w:i/>
          <w:u w:val="single"/>
        </w:rPr>
        <w:t>/förv.</w:t>
      </w:r>
      <w:r w:rsidRPr="004E6BEC">
        <w:rPr>
          <w:rFonts w:ascii="Times New Roman" w:hAnsi="Times New Roman"/>
          <w:i/>
          <w:u w:val="single"/>
        </w:rPr>
        <w:t xml:space="preserve"> enligt aktuell budget</w:t>
      </w:r>
      <w:r w:rsidR="0086136B">
        <w:rPr>
          <w:rFonts w:ascii="Times New Roman" w:hAnsi="Times New Roman"/>
          <w:i/>
        </w:rPr>
        <w:t xml:space="preserve">     </w:t>
      </w:r>
      <w:r w:rsidR="004C29B3">
        <w:rPr>
          <w:rFonts w:ascii="Times New Roman" w:hAnsi="Times New Roman"/>
          <w:i/>
        </w:rPr>
        <w:t xml:space="preserve">         </w:t>
      </w:r>
      <w:r w:rsidR="0086136B">
        <w:rPr>
          <w:rFonts w:ascii="Times New Roman" w:hAnsi="Times New Roman"/>
          <w:i/>
        </w:rPr>
        <w:t>= Procentsats kontor</w:t>
      </w:r>
    </w:p>
    <w:p w14:paraId="23479DD6" w14:textId="77777777" w:rsidR="005D04D1" w:rsidRPr="004C29B3" w:rsidRDefault="0073610E" w:rsidP="004C29B3">
      <w:pPr>
        <w:spacing w:after="0"/>
        <w:ind w:right="-426"/>
        <w:rPr>
          <w:rFonts w:ascii="Times New Roman" w:hAnsi="Times New Roman"/>
          <w:i/>
        </w:rPr>
      </w:pPr>
      <w:r>
        <w:rPr>
          <w:rFonts w:ascii="Times New Roman" w:hAnsi="Times New Roman"/>
          <w:i/>
          <w:sz w:val="20"/>
          <w:szCs w:val="20"/>
        </w:rPr>
        <w:t>Budgetlöner konto 4000-4</w:t>
      </w:r>
      <w:r w:rsidR="00912391">
        <w:rPr>
          <w:rFonts w:ascii="Times New Roman" w:hAnsi="Times New Roman"/>
          <w:i/>
          <w:sz w:val="20"/>
          <w:szCs w:val="20"/>
        </w:rPr>
        <w:t>0</w:t>
      </w:r>
      <w:r>
        <w:rPr>
          <w:rFonts w:ascii="Times New Roman" w:hAnsi="Times New Roman"/>
          <w:i/>
          <w:sz w:val="20"/>
          <w:szCs w:val="20"/>
        </w:rPr>
        <w:t xml:space="preserve">61 </w:t>
      </w:r>
      <w:proofErr w:type="spellStart"/>
      <w:r>
        <w:rPr>
          <w:rFonts w:ascii="Times New Roman" w:hAnsi="Times New Roman"/>
          <w:i/>
          <w:sz w:val="20"/>
          <w:szCs w:val="20"/>
        </w:rPr>
        <w:t>exkl</w:t>
      </w:r>
      <w:proofErr w:type="spellEnd"/>
      <w:r>
        <w:rPr>
          <w:rFonts w:ascii="Times New Roman" w:hAnsi="Times New Roman"/>
          <w:i/>
          <w:sz w:val="20"/>
          <w:szCs w:val="20"/>
        </w:rPr>
        <w:t xml:space="preserve"> 4051</w:t>
      </w:r>
      <w:r w:rsidR="00800BF5" w:rsidRPr="00F56D0F">
        <w:rPr>
          <w:rFonts w:ascii="Times New Roman" w:hAnsi="Times New Roman"/>
          <w:i/>
          <w:sz w:val="20"/>
          <w:szCs w:val="20"/>
        </w:rPr>
        <w:t xml:space="preserve"> samtlig personal med hemvist</w:t>
      </w:r>
      <w:r w:rsidR="00800BF5">
        <w:rPr>
          <w:rFonts w:ascii="Times New Roman" w:hAnsi="Times New Roman"/>
          <w:i/>
          <w:sz w:val="20"/>
          <w:szCs w:val="20"/>
        </w:rPr>
        <w:t xml:space="preserve"> på</w:t>
      </w:r>
      <w:r w:rsidR="00800BF5" w:rsidRPr="00F56D0F">
        <w:rPr>
          <w:rFonts w:ascii="Times New Roman" w:hAnsi="Times New Roman"/>
          <w:i/>
          <w:sz w:val="20"/>
          <w:szCs w:val="20"/>
        </w:rPr>
        <w:t xml:space="preserve"> </w:t>
      </w:r>
      <w:r w:rsidR="0077168E">
        <w:rPr>
          <w:rFonts w:ascii="Times New Roman" w:hAnsi="Times New Roman"/>
          <w:i/>
          <w:sz w:val="20"/>
          <w:szCs w:val="20"/>
        </w:rPr>
        <w:t>ins</w:t>
      </w:r>
      <w:r w:rsidR="0052514F">
        <w:rPr>
          <w:rFonts w:ascii="Times New Roman" w:hAnsi="Times New Roman"/>
          <w:i/>
          <w:sz w:val="20"/>
          <w:szCs w:val="20"/>
        </w:rPr>
        <w:t>titutionen/förvaltningen</w:t>
      </w:r>
    </w:p>
    <w:p w14:paraId="0D7ED09E" w14:textId="77777777" w:rsidR="008D1347" w:rsidRPr="00263881" w:rsidRDefault="00445F0E" w:rsidP="008D1347">
      <w:pPr>
        <w:pStyle w:val="Rubrik3"/>
        <w:rPr>
          <w:rFonts w:ascii="Times New Roman" w:hAnsi="Times New Roman" w:cs="Times New Roman"/>
        </w:rPr>
      </w:pPr>
      <w:bookmarkStart w:id="16" w:name="_Toc58848016"/>
      <w:r>
        <w:rPr>
          <w:rFonts w:ascii="Times New Roman" w:hAnsi="Times New Roman" w:cs="Times New Roman"/>
        </w:rPr>
        <w:t>6</w:t>
      </w:r>
      <w:r w:rsidR="008D1347">
        <w:rPr>
          <w:rFonts w:ascii="Times New Roman" w:hAnsi="Times New Roman" w:cs="Times New Roman"/>
        </w:rPr>
        <w:t>.1.2</w:t>
      </w:r>
      <w:r w:rsidR="008D1347" w:rsidRPr="00263881">
        <w:rPr>
          <w:rFonts w:ascii="Times New Roman" w:hAnsi="Times New Roman" w:cs="Times New Roman"/>
        </w:rPr>
        <w:tab/>
      </w:r>
      <w:r w:rsidR="008D1347">
        <w:rPr>
          <w:rFonts w:ascii="Times New Roman" w:hAnsi="Times New Roman" w:cs="Times New Roman"/>
        </w:rPr>
        <w:t>Fördelningsmodell övriga lokalkostnader</w:t>
      </w:r>
      <w:bookmarkEnd w:id="16"/>
    </w:p>
    <w:p w14:paraId="551607E0" w14:textId="77777777" w:rsidR="00F41195" w:rsidRDefault="00F41195" w:rsidP="00F41195">
      <w:pPr>
        <w:rPr>
          <w:rFonts w:ascii="Times New Roman" w:hAnsi="Times New Roman"/>
          <w:lang w:eastAsia="sv-SE"/>
        </w:rPr>
      </w:pPr>
      <w:r>
        <w:rPr>
          <w:rFonts w:ascii="Times New Roman" w:hAnsi="Times New Roman"/>
          <w:lang w:eastAsia="sv-SE"/>
        </w:rPr>
        <w:t xml:space="preserve">Huvuddelen av datasalarna bokförs samlat inom förvaltningen och </w:t>
      </w:r>
      <w:proofErr w:type="spellStart"/>
      <w:r>
        <w:rPr>
          <w:rFonts w:ascii="Times New Roman" w:hAnsi="Times New Roman"/>
          <w:lang w:eastAsia="sv-SE"/>
        </w:rPr>
        <w:t>schablonfördelas</w:t>
      </w:r>
      <w:proofErr w:type="spellEnd"/>
      <w:r>
        <w:rPr>
          <w:rFonts w:ascii="Times New Roman" w:hAnsi="Times New Roman"/>
          <w:lang w:eastAsia="sv-SE"/>
        </w:rPr>
        <w:t xml:space="preserve"> till verksamheten via overhead-/OH-påslaget.</w:t>
      </w:r>
    </w:p>
    <w:p w14:paraId="49390B58" w14:textId="77777777" w:rsidR="00F41195" w:rsidRDefault="00F41195">
      <w:pPr>
        <w:rPr>
          <w:rFonts w:ascii="Times New Roman" w:hAnsi="Times New Roman"/>
          <w:lang w:eastAsia="sv-SE"/>
        </w:rPr>
      </w:pPr>
      <w:r>
        <w:rPr>
          <w:rFonts w:ascii="Times New Roman" w:hAnsi="Times New Roman"/>
        </w:rPr>
        <w:t>Ö</w:t>
      </w:r>
      <w:r w:rsidR="008D1347">
        <w:rPr>
          <w:rFonts w:ascii="Times New Roman" w:hAnsi="Times New Roman"/>
        </w:rPr>
        <w:t xml:space="preserve">vriga lokalkostnader </w:t>
      </w:r>
      <w:r>
        <w:rPr>
          <w:rFonts w:ascii="Times New Roman" w:hAnsi="Times New Roman"/>
        </w:rPr>
        <w:t xml:space="preserve">d v s bokningsbara lokaler samt </w:t>
      </w:r>
      <w:proofErr w:type="spellStart"/>
      <w:r>
        <w:rPr>
          <w:rFonts w:ascii="Times New Roman" w:hAnsi="Times New Roman"/>
        </w:rPr>
        <w:t>sk.</w:t>
      </w:r>
      <w:proofErr w:type="spellEnd"/>
      <w:r w:rsidR="008D1347">
        <w:rPr>
          <w:rFonts w:ascii="Times New Roman" w:hAnsi="Times New Roman"/>
        </w:rPr>
        <w:t xml:space="preserve"> </w:t>
      </w:r>
      <w:r>
        <w:rPr>
          <w:rFonts w:ascii="Times New Roman" w:hAnsi="Times New Roman"/>
        </w:rPr>
        <w:t xml:space="preserve">speciallokaler  (t ex. lärosalar, </w:t>
      </w:r>
      <w:proofErr w:type="spellStart"/>
      <w:r>
        <w:rPr>
          <w:rFonts w:ascii="Times New Roman" w:hAnsi="Times New Roman"/>
        </w:rPr>
        <w:t>lab.salar</w:t>
      </w:r>
      <w:proofErr w:type="spellEnd"/>
      <w:r>
        <w:rPr>
          <w:rFonts w:ascii="Times New Roman" w:hAnsi="Times New Roman"/>
        </w:rPr>
        <w:t xml:space="preserve">) </w:t>
      </w:r>
      <w:proofErr w:type="spellStart"/>
      <w:r>
        <w:rPr>
          <w:rFonts w:ascii="Times New Roman" w:hAnsi="Times New Roman"/>
        </w:rPr>
        <w:t>interndebiteras</w:t>
      </w:r>
      <w:proofErr w:type="spellEnd"/>
      <w:r>
        <w:rPr>
          <w:rFonts w:ascii="Times New Roman" w:hAnsi="Times New Roman"/>
        </w:rPr>
        <w:t xml:space="preserve"> aktuella avdelningar</w:t>
      </w:r>
      <w:r w:rsidR="0077168E">
        <w:rPr>
          <w:rFonts w:ascii="Times New Roman" w:hAnsi="Times New Roman"/>
        </w:rPr>
        <w:t>/i</w:t>
      </w:r>
      <w:r w:rsidR="0077168E" w:rsidRPr="0057133F">
        <w:rPr>
          <w:rFonts w:ascii="Times New Roman" w:hAnsi="Times New Roman"/>
        </w:rPr>
        <w:t>nstitutioner</w:t>
      </w:r>
      <w:r>
        <w:rPr>
          <w:rFonts w:ascii="Times New Roman" w:hAnsi="Times New Roman"/>
        </w:rPr>
        <w:t xml:space="preserve">. </w:t>
      </w:r>
      <w:r w:rsidR="008D1347">
        <w:rPr>
          <w:rFonts w:ascii="Times New Roman" w:hAnsi="Times New Roman"/>
          <w:lang w:eastAsia="sv-SE"/>
        </w:rPr>
        <w:t>Interndebitering av dessa lokaler sker i två steg. Universitetets fastighetsavdelning debiterar organisatoriska enheter inom kärn- och stödverksamhet för faktiskt nyttjade lok</w:t>
      </w:r>
      <w:r w:rsidR="0077168E">
        <w:rPr>
          <w:rFonts w:ascii="Times New Roman" w:hAnsi="Times New Roman"/>
          <w:lang w:eastAsia="sv-SE"/>
        </w:rPr>
        <w:t xml:space="preserve">aler.  Inom respektive avdelning alt gemensam förvaltning </w:t>
      </w:r>
      <w:r w:rsidR="0077168E" w:rsidRPr="004C2E64">
        <w:rPr>
          <w:rFonts w:ascii="Times New Roman" w:hAnsi="Times New Roman"/>
          <w:lang w:eastAsia="sv-SE"/>
        </w:rPr>
        <w:t>samt institution</w:t>
      </w:r>
      <w:r w:rsidR="008D1347">
        <w:rPr>
          <w:rFonts w:ascii="Times New Roman" w:hAnsi="Times New Roman"/>
          <w:lang w:eastAsia="sv-SE"/>
        </w:rPr>
        <w:t xml:space="preserve"> sker sedan en manuell fördelning av lokalkostnaden till korrekt verksamhet och aktivitet.</w:t>
      </w:r>
      <w:r>
        <w:rPr>
          <w:rFonts w:ascii="Times New Roman" w:hAnsi="Times New Roman"/>
          <w:lang w:eastAsia="sv-SE"/>
        </w:rPr>
        <w:t xml:space="preserve"> </w:t>
      </w:r>
    </w:p>
    <w:p w14:paraId="2C75092F" w14:textId="77777777" w:rsidR="00F41195" w:rsidRDefault="00F41195">
      <w:pPr>
        <w:rPr>
          <w:rFonts w:ascii="Times New Roman" w:hAnsi="Times New Roman"/>
          <w:lang w:eastAsia="sv-SE"/>
        </w:rPr>
      </w:pPr>
    </w:p>
    <w:p w14:paraId="20EE1E3A" w14:textId="77777777" w:rsidR="00F41195" w:rsidRDefault="00F41195">
      <w:pPr>
        <w:rPr>
          <w:rFonts w:ascii="Times New Roman" w:hAnsi="Times New Roman"/>
          <w:lang w:eastAsia="sv-SE"/>
        </w:rPr>
      </w:pPr>
    </w:p>
    <w:p w14:paraId="6A0A5BDA" w14:textId="77777777" w:rsidR="00F41195" w:rsidRDefault="00F41195">
      <w:pPr>
        <w:rPr>
          <w:rFonts w:ascii="Times New Roman" w:hAnsi="Times New Roman"/>
          <w:lang w:eastAsia="sv-SE"/>
        </w:rPr>
      </w:pPr>
    </w:p>
    <w:p w14:paraId="2A72B0A9" w14:textId="77777777" w:rsidR="00F41195" w:rsidRDefault="00F41195">
      <w:pPr>
        <w:rPr>
          <w:rFonts w:ascii="Times New Roman" w:hAnsi="Times New Roman"/>
          <w:lang w:eastAsia="sv-SE"/>
        </w:rPr>
      </w:pPr>
    </w:p>
    <w:p w14:paraId="0CEFFD8B" w14:textId="77777777" w:rsidR="00CD4149" w:rsidRDefault="00CD4149">
      <w:pPr>
        <w:rPr>
          <w:rFonts w:ascii="Times New Roman" w:hAnsi="Times New Roman"/>
          <w:lang w:eastAsia="sv-SE"/>
        </w:rPr>
      </w:pPr>
      <w:r>
        <w:rPr>
          <w:rFonts w:ascii="Times New Roman" w:hAnsi="Times New Roman"/>
          <w:lang w:eastAsia="sv-SE"/>
        </w:rPr>
        <w:tab/>
      </w:r>
      <w:r>
        <w:rPr>
          <w:rFonts w:ascii="Times New Roman" w:hAnsi="Times New Roman"/>
          <w:lang w:eastAsia="sv-SE"/>
        </w:rPr>
        <w:tab/>
      </w:r>
      <w:r>
        <w:rPr>
          <w:rFonts w:ascii="Times New Roman" w:hAnsi="Times New Roman"/>
          <w:lang w:eastAsia="sv-SE"/>
        </w:rPr>
        <w:tab/>
      </w:r>
      <w:r>
        <w:rPr>
          <w:rFonts w:ascii="Times New Roman" w:hAnsi="Times New Roman"/>
          <w:lang w:eastAsia="sv-SE"/>
        </w:rPr>
        <w:tab/>
      </w:r>
      <w:r>
        <w:rPr>
          <w:rFonts w:ascii="Times New Roman" w:hAnsi="Times New Roman"/>
          <w:lang w:eastAsia="sv-SE"/>
        </w:rPr>
        <w:tab/>
      </w:r>
      <w:r>
        <w:rPr>
          <w:rFonts w:ascii="Times New Roman" w:hAnsi="Times New Roman"/>
          <w:lang w:eastAsia="sv-SE"/>
        </w:rPr>
        <w:tab/>
        <w:t>Bilaga 1:1(2)</w:t>
      </w:r>
    </w:p>
    <w:p w14:paraId="74859B84" w14:textId="53677074" w:rsidR="00C21585" w:rsidRDefault="00C21585">
      <w:pPr>
        <w:rPr>
          <w:rFonts w:ascii="Times New Roman" w:hAnsi="Times New Roman"/>
          <w:lang w:eastAsia="sv-SE"/>
        </w:rPr>
      </w:pPr>
      <w:r>
        <w:rPr>
          <w:rFonts w:ascii="Times New Roman" w:hAnsi="Times New Roman"/>
          <w:lang w:eastAsia="sv-SE"/>
        </w:rPr>
        <w:tab/>
      </w:r>
      <w:r>
        <w:rPr>
          <w:rFonts w:ascii="Times New Roman" w:hAnsi="Times New Roman"/>
          <w:lang w:eastAsia="sv-SE"/>
        </w:rPr>
        <w:tab/>
      </w:r>
      <w:r>
        <w:rPr>
          <w:rFonts w:ascii="Times New Roman" w:hAnsi="Times New Roman"/>
          <w:lang w:eastAsia="sv-SE"/>
        </w:rPr>
        <w:tab/>
      </w:r>
      <w:r>
        <w:rPr>
          <w:rFonts w:ascii="Times New Roman" w:hAnsi="Times New Roman"/>
          <w:lang w:eastAsia="sv-SE"/>
        </w:rPr>
        <w:tab/>
      </w:r>
      <w:r>
        <w:rPr>
          <w:rFonts w:ascii="Times New Roman" w:hAnsi="Times New Roman"/>
          <w:lang w:eastAsia="sv-SE"/>
        </w:rPr>
        <w:tab/>
      </w:r>
      <w:r>
        <w:rPr>
          <w:rFonts w:ascii="Times New Roman" w:hAnsi="Times New Roman"/>
          <w:lang w:eastAsia="sv-SE"/>
        </w:rPr>
        <w:tab/>
        <w:t>Rev 2023</w:t>
      </w:r>
    </w:p>
    <w:p w14:paraId="6DDE6F2C" w14:textId="77777777" w:rsidR="00CD4149" w:rsidRPr="00772EEF" w:rsidRDefault="00772EEF">
      <w:pPr>
        <w:rPr>
          <w:rFonts w:ascii="Times New Roman" w:hAnsi="Times New Roman"/>
          <w:b/>
          <w:lang w:eastAsia="sv-SE"/>
        </w:rPr>
      </w:pPr>
      <w:r w:rsidRPr="00772EEF">
        <w:rPr>
          <w:rFonts w:ascii="Times New Roman" w:hAnsi="Times New Roman"/>
          <w:b/>
          <w:lang w:eastAsia="sv-SE"/>
        </w:rPr>
        <w:t xml:space="preserve">Utdrag </w:t>
      </w:r>
      <w:r w:rsidR="000A64EE">
        <w:rPr>
          <w:rFonts w:ascii="Times New Roman" w:hAnsi="Times New Roman"/>
          <w:b/>
          <w:lang w:eastAsia="sv-SE"/>
        </w:rPr>
        <w:t xml:space="preserve">ur </w:t>
      </w:r>
      <w:r w:rsidRPr="00772EEF">
        <w:rPr>
          <w:rFonts w:ascii="Times New Roman" w:hAnsi="Times New Roman"/>
          <w:b/>
          <w:lang w:eastAsia="sv-SE"/>
        </w:rPr>
        <w:t xml:space="preserve">bilaga 1 </w:t>
      </w:r>
      <w:r w:rsidR="000A64EE">
        <w:rPr>
          <w:rFonts w:ascii="Times New Roman" w:hAnsi="Times New Roman"/>
          <w:b/>
          <w:lang w:eastAsia="sv-SE"/>
        </w:rPr>
        <w:t>till</w:t>
      </w:r>
      <w:r w:rsidRPr="00772EEF">
        <w:rPr>
          <w:rFonts w:ascii="Times New Roman" w:hAnsi="Times New Roman"/>
          <w:b/>
          <w:lang w:eastAsia="sv-SE"/>
        </w:rPr>
        <w:t xml:space="preserve"> </w:t>
      </w:r>
      <w:proofErr w:type="spellStart"/>
      <w:r w:rsidRPr="00772EEF">
        <w:rPr>
          <w:rFonts w:ascii="Times New Roman" w:hAnsi="Times New Roman"/>
          <w:b/>
          <w:lang w:eastAsia="sv-SE"/>
        </w:rPr>
        <w:t>SUHF´s</w:t>
      </w:r>
      <w:proofErr w:type="spellEnd"/>
      <w:r w:rsidRPr="00772EEF">
        <w:rPr>
          <w:rFonts w:ascii="Times New Roman" w:hAnsi="Times New Roman"/>
          <w:b/>
          <w:lang w:eastAsia="sv-SE"/>
        </w:rPr>
        <w:t xml:space="preserve"> </w:t>
      </w:r>
      <w:r w:rsidR="00CD4149" w:rsidRPr="00772EEF">
        <w:rPr>
          <w:rFonts w:ascii="Times New Roman" w:hAnsi="Times New Roman"/>
          <w:b/>
          <w:lang w:eastAsia="sv-SE"/>
        </w:rPr>
        <w:t xml:space="preserve">handledning för </w:t>
      </w:r>
      <w:r>
        <w:rPr>
          <w:rFonts w:ascii="Times New Roman" w:hAnsi="Times New Roman"/>
          <w:b/>
          <w:lang w:eastAsia="sv-SE"/>
        </w:rPr>
        <w:t>redo</w:t>
      </w:r>
      <w:r w:rsidRPr="00772EEF">
        <w:rPr>
          <w:rFonts w:ascii="Times New Roman" w:hAnsi="Times New Roman"/>
          <w:b/>
          <w:lang w:eastAsia="sv-SE"/>
        </w:rPr>
        <w:t>visningsmodellen för direkta och indirekta kostnader.</w:t>
      </w:r>
    </w:p>
    <w:p w14:paraId="095BD53D" w14:textId="5A5A2439" w:rsidR="004C29B3" w:rsidRDefault="00C21585">
      <w:pPr>
        <w:rPr>
          <w:noProof/>
          <w:lang w:eastAsia="sv-SE"/>
        </w:rPr>
      </w:pPr>
      <w:r>
        <w:rPr>
          <w:noProof/>
        </w:rPr>
        <w:drawing>
          <wp:inline distT="0" distB="0" distL="0" distR="0" wp14:anchorId="4F2C8236" wp14:editId="1D8F16B2">
            <wp:extent cx="5109621" cy="3009900"/>
            <wp:effectExtent l="0" t="0" r="0" b="0"/>
            <wp:docPr id="5" name="Bildobjekt 5" descr="En bild som visar text, skärmbild, Teckensnitt,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skärmbild, Teckensnitt, nummer&#10;&#10;Automatiskt genererad beskrivning"/>
                    <pic:cNvPicPr/>
                  </pic:nvPicPr>
                  <pic:blipFill>
                    <a:blip r:embed="rId10"/>
                    <a:stretch>
                      <a:fillRect/>
                    </a:stretch>
                  </pic:blipFill>
                  <pic:spPr>
                    <a:xfrm>
                      <a:off x="0" y="0"/>
                      <a:ext cx="5116414" cy="3013901"/>
                    </a:xfrm>
                    <a:prstGeom prst="rect">
                      <a:avLst/>
                    </a:prstGeom>
                  </pic:spPr>
                </pic:pic>
              </a:graphicData>
            </a:graphic>
          </wp:inline>
        </w:drawing>
      </w:r>
    </w:p>
    <w:p w14:paraId="24F9C938" w14:textId="156672BF" w:rsidR="00C21585" w:rsidRDefault="00C21585">
      <w:pPr>
        <w:rPr>
          <w:noProof/>
          <w:lang w:eastAsia="sv-SE"/>
        </w:rPr>
      </w:pPr>
      <w:r>
        <w:rPr>
          <w:noProof/>
        </w:rPr>
        <w:lastRenderedPageBreak/>
        <w:drawing>
          <wp:inline distT="0" distB="0" distL="0" distR="0" wp14:anchorId="16307EA2" wp14:editId="69B45706">
            <wp:extent cx="5194300" cy="3936377"/>
            <wp:effectExtent l="0" t="0" r="6350" b="6985"/>
            <wp:docPr id="6" name="Bildobjekt 6" descr="En bild som visar text, skärmbild, Teckensnitt,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text, skärmbild, Teckensnitt, nummer&#10;&#10;Automatiskt genererad beskrivning"/>
                    <pic:cNvPicPr/>
                  </pic:nvPicPr>
                  <pic:blipFill>
                    <a:blip r:embed="rId11"/>
                    <a:stretch>
                      <a:fillRect/>
                    </a:stretch>
                  </pic:blipFill>
                  <pic:spPr>
                    <a:xfrm>
                      <a:off x="0" y="0"/>
                      <a:ext cx="5198710" cy="3939719"/>
                    </a:xfrm>
                    <a:prstGeom prst="rect">
                      <a:avLst/>
                    </a:prstGeom>
                  </pic:spPr>
                </pic:pic>
              </a:graphicData>
            </a:graphic>
          </wp:inline>
        </w:drawing>
      </w:r>
    </w:p>
    <w:p w14:paraId="015DD56E" w14:textId="77777777" w:rsidR="00C21585" w:rsidRDefault="00C21585">
      <w:pPr>
        <w:rPr>
          <w:noProof/>
          <w:lang w:eastAsia="sv-SE"/>
        </w:rPr>
      </w:pPr>
    </w:p>
    <w:p w14:paraId="23102827" w14:textId="77777777" w:rsidR="00CD4149" w:rsidRDefault="00CD4149" w:rsidP="004C29B3">
      <w:pPr>
        <w:ind w:left="6520" w:firstLine="1304"/>
        <w:rPr>
          <w:noProof/>
          <w:lang w:eastAsia="sv-SE"/>
        </w:rPr>
      </w:pPr>
      <w:r>
        <w:rPr>
          <w:noProof/>
          <w:lang w:eastAsia="sv-SE"/>
        </w:rPr>
        <w:t>Bilaga 1:2(2)</w:t>
      </w:r>
    </w:p>
    <w:p w14:paraId="3DE13357" w14:textId="7BBC8FD5" w:rsidR="00CD4149" w:rsidRDefault="00C21585">
      <w:pPr>
        <w:rPr>
          <w:noProof/>
          <w:lang w:eastAsia="sv-SE"/>
        </w:rPr>
      </w:pPr>
      <w:r>
        <w:rPr>
          <w:noProof/>
        </w:rPr>
        <w:lastRenderedPageBreak/>
        <w:drawing>
          <wp:inline distT="0" distB="0" distL="0" distR="0" wp14:anchorId="0BE6E8DA" wp14:editId="17A5CCEA">
            <wp:extent cx="5086350" cy="4954594"/>
            <wp:effectExtent l="0" t="0" r="0" b="0"/>
            <wp:docPr id="7" name="Bildobjekt 7" descr="En bild som visar text, skärmbild, Teckensnitt,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 skärmbild, Teckensnitt, nummer&#10;&#10;Automatiskt genererad beskrivning"/>
                    <pic:cNvPicPr/>
                  </pic:nvPicPr>
                  <pic:blipFill>
                    <a:blip r:embed="rId12"/>
                    <a:stretch>
                      <a:fillRect/>
                    </a:stretch>
                  </pic:blipFill>
                  <pic:spPr>
                    <a:xfrm>
                      <a:off x="0" y="0"/>
                      <a:ext cx="5095014" cy="4963034"/>
                    </a:xfrm>
                    <a:prstGeom prst="rect">
                      <a:avLst/>
                    </a:prstGeom>
                  </pic:spPr>
                </pic:pic>
              </a:graphicData>
            </a:graphic>
          </wp:inline>
        </w:drawing>
      </w:r>
    </w:p>
    <w:p w14:paraId="409CB83C" w14:textId="0330E242" w:rsidR="00C21585" w:rsidRDefault="00C21585">
      <w:pPr>
        <w:rPr>
          <w:noProof/>
          <w:lang w:eastAsia="sv-SE"/>
        </w:rPr>
      </w:pPr>
      <w:r>
        <w:rPr>
          <w:noProof/>
        </w:rPr>
        <w:drawing>
          <wp:inline distT="0" distB="0" distL="0" distR="0" wp14:anchorId="0564B6B4" wp14:editId="4EEC1420">
            <wp:extent cx="5187950" cy="2075295"/>
            <wp:effectExtent l="0" t="0" r="0" b="1270"/>
            <wp:docPr id="9" name="Bildobjekt 9" descr="En bild som visar text, skärmbild, Teckensnitt,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text, skärmbild, Teckensnitt, nummer&#10;&#10;Automatiskt genererad beskrivning"/>
                    <pic:cNvPicPr/>
                  </pic:nvPicPr>
                  <pic:blipFill>
                    <a:blip r:embed="rId13"/>
                    <a:stretch>
                      <a:fillRect/>
                    </a:stretch>
                  </pic:blipFill>
                  <pic:spPr>
                    <a:xfrm>
                      <a:off x="0" y="0"/>
                      <a:ext cx="5196693" cy="2078792"/>
                    </a:xfrm>
                    <a:prstGeom prst="rect">
                      <a:avLst/>
                    </a:prstGeom>
                  </pic:spPr>
                </pic:pic>
              </a:graphicData>
            </a:graphic>
          </wp:inline>
        </w:drawing>
      </w:r>
    </w:p>
    <w:p w14:paraId="0D5F5A11" w14:textId="77777777" w:rsidR="00C21585" w:rsidRDefault="00C21585">
      <w:pPr>
        <w:rPr>
          <w:noProof/>
          <w:lang w:eastAsia="sv-SE"/>
        </w:rPr>
      </w:pPr>
    </w:p>
    <w:p w14:paraId="44D2ABA0" w14:textId="77777777" w:rsidR="00C21585" w:rsidRDefault="00C21585">
      <w:pPr>
        <w:rPr>
          <w:noProof/>
          <w:lang w:eastAsia="sv-SE"/>
        </w:rPr>
      </w:pPr>
    </w:p>
    <w:p w14:paraId="037B5BEA" w14:textId="77777777" w:rsidR="00772EEF" w:rsidRDefault="00772EEF">
      <w:pPr>
        <w:rPr>
          <w:noProof/>
          <w:lang w:eastAsia="sv-SE"/>
        </w:rPr>
      </w:pPr>
    </w:p>
    <w:p w14:paraId="2E81C22D" w14:textId="77777777" w:rsidR="00772EEF" w:rsidRDefault="00772EEF">
      <w:pPr>
        <w:rPr>
          <w:noProof/>
          <w:lang w:eastAsia="sv-SE"/>
        </w:rPr>
      </w:pPr>
      <w:r>
        <w:rPr>
          <w:noProof/>
          <w:lang w:eastAsia="sv-SE"/>
        </w:rPr>
        <w:tab/>
      </w:r>
      <w:r>
        <w:rPr>
          <w:noProof/>
          <w:lang w:eastAsia="sv-SE"/>
        </w:rPr>
        <w:tab/>
      </w:r>
      <w:r>
        <w:rPr>
          <w:noProof/>
          <w:lang w:eastAsia="sv-SE"/>
        </w:rPr>
        <w:tab/>
      </w:r>
      <w:r>
        <w:rPr>
          <w:noProof/>
          <w:lang w:eastAsia="sv-SE"/>
        </w:rPr>
        <w:tab/>
      </w:r>
      <w:r>
        <w:rPr>
          <w:noProof/>
          <w:lang w:eastAsia="sv-SE"/>
        </w:rPr>
        <w:tab/>
      </w:r>
      <w:r>
        <w:rPr>
          <w:noProof/>
          <w:lang w:eastAsia="sv-SE"/>
        </w:rPr>
        <w:tab/>
        <w:t>Bilaga 2</w:t>
      </w:r>
      <w:r w:rsidR="00C2773D">
        <w:rPr>
          <w:noProof/>
          <w:lang w:eastAsia="sv-SE"/>
        </w:rPr>
        <w:t>:1(2)</w:t>
      </w:r>
      <w:r>
        <w:rPr>
          <w:noProof/>
          <w:lang w:eastAsia="sv-SE"/>
        </w:rPr>
        <w:t xml:space="preserve"> </w:t>
      </w:r>
    </w:p>
    <w:p w14:paraId="43030B98" w14:textId="77777777" w:rsidR="00C2773D" w:rsidRDefault="00772EEF">
      <w:pPr>
        <w:rPr>
          <w:b/>
          <w:noProof/>
          <w:lang w:eastAsia="sv-SE"/>
        </w:rPr>
      </w:pPr>
      <w:r w:rsidRPr="0080386C">
        <w:rPr>
          <w:b/>
          <w:noProof/>
          <w:lang w:eastAsia="sv-SE"/>
        </w:rPr>
        <w:lastRenderedPageBreak/>
        <w:t>Mittuniversitetets uppdelning av gemensamma kostnader i sex funktioner.</w:t>
      </w:r>
    </w:p>
    <w:p w14:paraId="66E0987D" w14:textId="77777777" w:rsidR="00A3394F" w:rsidRPr="00CB6FE0" w:rsidRDefault="00AB364B">
      <w:pPr>
        <w:rPr>
          <w:b/>
          <w:noProof/>
          <w:lang w:eastAsia="sv-SE"/>
        </w:rPr>
      </w:pPr>
      <w:r w:rsidRPr="00D05534">
        <w:rPr>
          <w:noProof/>
          <w:lang w:eastAsia="sv-SE"/>
        </w:rPr>
        <w:drawing>
          <wp:inline distT="0" distB="0" distL="0" distR="0" wp14:anchorId="4B2D2F74" wp14:editId="1F8259EC">
            <wp:extent cx="5300345" cy="7388225"/>
            <wp:effectExtent l="0" t="0" r="0" b="0"/>
            <wp:docPr id="8"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0345" cy="7388225"/>
                    </a:xfrm>
                    <a:prstGeom prst="rect">
                      <a:avLst/>
                    </a:prstGeom>
                    <a:noFill/>
                    <a:ln>
                      <a:noFill/>
                    </a:ln>
                  </pic:spPr>
                </pic:pic>
              </a:graphicData>
            </a:graphic>
          </wp:inline>
        </w:drawing>
      </w:r>
    </w:p>
    <w:p w14:paraId="5146DE2F" w14:textId="77777777" w:rsidR="00A3394F" w:rsidRDefault="00C2773D">
      <w:pPr>
        <w:rPr>
          <w:noProof/>
          <w:lang w:eastAsia="sv-SE"/>
        </w:rPr>
      </w:pPr>
      <w:r>
        <w:rPr>
          <w:noProof/>
          <w:lang w:eastAsia="sv-SE"/>
        </w:rPr>
        <w:tab/>
      </w:r>
      <w:r>
        <w:rPr>
          <w:noProof/>
          <w:lang w:eastAsia="sv-SE"/>
        </w:rPr>
        <w:tab/>
      </w:r>
      <w:r>
        <w:rPr>
          <w:noProof/>
          <w:lang w:eastAsia="sv-SE"/>
        </w:rPr>
        <w:tab/>
      </w:r>
      <w:r>
        <w:rPr>
          <w:noProof/>
          <w:lang w:eastAsia="sv-SE"/>
        </w:rPr>
        <w:tab/>
      </w:r>
      <w:r>
        <w:rPr>
          <w:noProof/>
          <w:lang w:eastAsia="sv-SE"/>
        </w:rPr>
        <w:tab/>
      </w:r>
      <w:r>
        <w:rPr>
          <w:noProof/>
          <w:lang w:eastAsia="sv-SE"/>
        </w:rPr>
        <w:tab/>
      </w:r>
    </w:p>
    <w:p w14:paraId="26C684B2" w14:textId="77777777" w:rsidR="00A3394F" w:rsidRDefault="00C2773D" w:rsidP="00A3394F">
      <w:pPr>
        <w:ind w:left="6520" w:firstLine="1304"/>
        <w:rPr>
          <w:noProof/>
          <w:lang w:eastAsia="sv-SE"/>
        </w:rPr>
      </w:pPr>
      <w:r>
        <w:rPr>
          <w:noProof/>
          <w:lang w:eastAsia="sv-SE"/>
        </w:rPr>
        <w:t>Bilaga 2:2</w:t>
      </w:r>
    </w:p>
    <w:p w14:paraId="28DD6F6A" w14:textId="77777777" w:rsidR="00A3394F" w:rsidRDefault="00AB364B" w:rsidP="00A3394F">
      <w:pPr>
        <w:rPr>
          <w:noProof/>
          <w:lang w:eastAsia="sv-SE"/>
        </w:rPr>
      </w:pPr>
      <w:r w:rsidRPr="00D05534">
        <w:rPr>
          <w:noProof/>
          <w:lang w:eastAsia="sv-SE"/>
        </w:rPr>
        <w:lastRenderedPageBreak/>
        <w:drawing>
          <wp:inline distT="0" distB="0" distL="0" distR="0" wp14:anchorId="66C071F9" wp14:editId="7FE142FB">
            <wp:extent cx="5761355" cy="3228975"/>
            <wp:effectExtent l="0" t="0" r="0" b="0"/>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3228975"/>
                    </a:xfrm>
                    <a:prstGeom prst="rect">
                      <a:avLst/>
                    </a:prstGeom>
                    <a:noFill/>
                    <a:ln>
                      <a:noFill/>
                    </a:ln>
                  </pic:spPr>
                </pic:pic>
              </a:graphicData>
            </a:graphic>
          </wp:inline>
        </w:drawing>
      </w:r>
    </w:p>
    <w:p w14:paraId="52080BAD" w14:textId="77777777" w:rsidR="00CB6FE0" w:rsidRDefault="00CB6FE0">
      <w:pPr>
        <w:rPr>
          <w:noProof/>
          <w:lang w:eastAsia="sv-SE"/>
        </w:rPr>
      </w:pPr>
    </w:p>
    <w:p w14:paraId="19B4C158" w14:textId="77777777" w:rsidR="00CB6FE0" w:rsidRDefault="00CB6FE0">
      <w:pPr>
        <w:rPr>
          <w:noProof/>
          <w:lang w:eastAsia="sv-SE"/>
        </w:rPr>
      </w:pPr>
    </w:p>
    <w:p w14:paraId="466A0A1C" w14:textId="77777777" w:rsidR="00C2773D" w:rsidRPr="00F046C3" w:rsidRDefault="00C2773D">
      <w:pPr>
        <w:rPr>
          <w:noProof/>
          <w:lang w:eastAsia="sv-SE"/>
        </w:rPr>
      </w:pPr>
    </w:p>
    <w:p w14:paraId="6D12B667" w14:textId="77777777" w:rsidR="00C2773D" w:rsidRPr="00114F01" w:rsidRDefault="00C2773D">
      <w:pPr>
        <w:rPr>
          <w:rFonts w:ascii="Times New Roman" w:hAnsi="Times New Roman"/>
        </w:rPr>
      </w:pPr>
    </w:p>
    <w:sectPr w:rsidR="00C2773D" w:rsidRPr="00114F01" w:rsidSect="00F311A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A603" w14:textId="77777777" w:rsidR="007675D0" w:rsidRDefault="007675D0" w:rsidP="00931DC5">
      <w:pPr>
        <w:spacing w:after="0" w:line="240" w:lineRule="auto"/>
      </w:pPr>
      <w:r>
        <w:separator/>
      </w:r>
    </w:p>
  </w:endnote>
  <w:endnote w:type="continuationSeparator" w:id="0">
    <w:p w14:paraId="7007A1EB" w14:textId="77777777" w:rsidR="007675D0" w:rsidRDefault="007675D0" w:rsidP="0093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232B" w14:textId="77777777" w:rsidR="005D04D1" w:rsidRDefault="005D04D1">
    <w:pPr>
      <w:pStyle w:val="Sidfot"/>
      <w:jc w:val="right"/>
    </w:pPr>
    <w:r>
      <w:fldChar w:fldCharType="begin"/>
    </w:r>
    <w:r>
      <w:instrText xml:space="preserve"> PAGE   \* MERGEFORMAT </w:instrText>
    </w:r>
    <w:r>
      <w:fldChar w:fldCharType="separate"/>
    </w:r>
    <w:r w:rsidR="001E569E">
      <w:rPr>
        <w:noProof/>
      </w:rPr>
      <w:t>13</w:t>
    </w:r>
    <w:r>
      <w:fldChar w:fldCharType="end"/>
    </w:r>
  </w:p>
  <w:p w14:paraId="51781F62" w14:textId="77777777" w:rsidR="005D04D1" w:rsidRDefault="005D04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39C1A" w14:textId="77777777" w:rsidR="007675D0" w:rsidRDefault="007675D0" w:rsidP="00931DC5">
      <w:pPr>
        <w:spacing w:after="0" w:line="240" w:lineRule="auto"/>
      </w:pPr>
      <w:r>
        <w:separator/>
      </w:r>
    </w:p>
  </w:footnote>
  <w:footnote w:type="continuationSeparator" w:id="0">
    <w:p w14:paraId="6EF14F88" w14:textId="77777777" w:rsidR="007675D0" w:rsidRDefault="007675D0" w:rsidP="00931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5121A5"/>
    <w:multiLevelType w:val="hybridMultilevel"/>
    <w:tmpl w:val="4FE65E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E78E1"/>
    <w:multiLevelType w:val="hybridMultilevel"/>
    <w:tmpl w:val="FDB3FD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C0808"/>
    <w:multiLevelType w:val="hybridMultilevel"/>
    <w:tmpl w:val="A6B040CA"/>
    <w:lvl w:ilvl="0" w:tplc="DAD24654">
      <w:start w:val="1"/>
      <w:numFmt w:val="bullet"/>
      <w:lvlText w:val="•"/>
      <w:lvlJc w:val="left"/>
      <w:pPr>
        <w:tabs>
          <w:tab w:val="num" w:pos="720"/>
        </w:tabs>
        <w:ind w:left="720" w:hanging="360"/>
      </w:pPr>
      <w:rPr>
        <w:rFonts w:ascii="Times New Roman" w:hAnsi="Times New Roman" w:hint="default"/>
      </w:rPr>
    </w:lvl>
    <w:lvl w:ilvl="1" w:tplc="98C89D10" w:tentative="1">
      <w:start w:val="1"/>
      <w:numFmt w:val="bullet"/>
      <w:lvlText w:val="•"/>
      <w:lvlJc w:val="left"/>
      <w:pPr>
        <w:tabs>
          <w:tab w:val="num" w:pos="1440"/>
        </w:tabs>
        <w:ind w:left="1440" w:hanging="360"/>
      </w:pPr>
      <w:rPr>
        <w:rFonts w:ascii="Times New Roman" w:hAnsi="Times New Roman" w:hint="default"/>
      </w:rPr>
    </w:lvl>
    <w:lvl w:ilvl="2" w:tplc="15A84222" w:tentative="1">
      <w:start w:val="1"/>
      <w:numFmt w:val="bullet"/>
      <w:lvlText w:val="•"/>
      <w:lvlJc w:val="left"/>
      <w:pPr>
        <w:tabs>
          <w:tab w:val="num" w:pos="2160"/>
        </w:tabs>
        <w:ind w:left="2160" w:hanging="360"/>
      </w:pPr>
      <w:rPr>
        <w:rFonts w:ascii="Times New Roman" w:hAnsi="Times New Roman" w:hint="default"/>
      </w:rPr>
    </w:lvl>
    <w:lvl w:ilvl="3" w:tplc="78C225CE" w:tentative="1">
      <w:start w:val="1"/>
      <w:numFmt w:val="bullet"/>
      <w:lvlText w:val="•"/>
      <w:lvlJc w:val="left"/>
      <w:pPr>
        <w:tabs>
          <w:tab w:val="num" w:pos="2880"/>
        </w:tabs>
        <w:ind w:left="2880" w:hanging="360"/>
      </w:pPr>
      <w:rPr>
        <w:rFonts w:ascii="Times New Roman" w:hAnsi="Times New Roman" w:hint="default"/>
      </w:rPr>
    </w:lvl>
    <w:lvl w:ilvl="4" w:tplc="97504BBA" w:tentative="1">
      <w:start w:val="1"/>
      <w:numFmt w:val="bullet"/>
      <w:lvlText w:val="•"/>
      <w:lvlJc w:val="left"/>
      <w:pPr>
        <w:tabs>
          <w:tab w:val="num" w:pos="3600"/>
        </w:tabs>
        <w:ind w:left="3600" w:hanging="360"/>
      </w:pPr>
      <w:rPr>
        <w:rFonts w:ascii="Times New Roman" w:hAnsi="Times New Roman" w:hint="default"/>
      </w:rPr>
    </w:lvl>
    <w:lvl w:ilvl="5" w:tplc="70A007CE" w:tentative="1">
      <w:start w:val="1"/>
      <w:numFmt w:val="bullet"/>
      <w:lvlText w:val="•"/>
      <w:lvlJc w:val="left"/>
      <w:pPr>
        <w:tabs>
          <w:tab w:val="num" w:pos="4320"/>
        </w:tabs>
        <w:ind w:left="4320" w:hanging="360"/>
      </w:pPr>
      <w:rPr>
        <w:rFonts w:ascii="Times New Roman" w:hAnsi="Times New Roman" w:hint="default"/>
      </w:rPr>
    </w:lvl>
    <w:lvl w:ilvl="6" w:tplc="CED20DC8" w:tentative="1">
      <w:start w:val="1"/>
      <w:numFmt w:val="bullet"/>
      <w:lvlText w:val="•"/>
      <w:lvlJc w:val="left"/>
      <w:pPr>
        <w:tabs>
          <w:tab w:val="num" w:pos="5040"/>
        </w:tabs>
        <w:ind w:left="5040" w:hanging="360"/>
      </w:pPr>
      <w:rPr>
        <w:rFonts w:ascii="Times New Roman" w:hAnsi="Times New Roman" w:hint="default"/>
      </w:rPr>
    </w:lvl>
    <w:lvl w:ilvl="7" w:tplc="ED74FE6A" w:tentative="1">
      <w:start w:val="1"/>
      <w:numFmt w:val="bullet"/>
      <w:lvlText w:val="•"/>
      <w:lvlJc w:val="left"/>
      <w:pPr>
        <w:tabs>
          <w:tab w:val="num" w:pos="5760"/>
        </w:tabs>
        <w:ind w:left="5760" w:hanging="360"/>
      </w:pPr>
      <w:rPr>
        <w:rFonts w:ascii="Times New Roman" w:hAnsi="Times New Roman" w:hint="default"/>
      </w:rPr>
    </w:lvl>
    <w:lvl w:ilvl="8" w:tplc="DB5CDF1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4845FBB"/>
    <w:multiLevelType w:val="multilevel"/>
    <w:tmpl w:val="94088F1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2A2CFD"/>
    <w:multiLevelType w:val="hybridMultilevel"/>
    <w:tmpl w:val="56CEA8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16C5296"/>
    <w:multiLevelType w:val="hybridMultilevel"/>
    <w:tmpl w:val="E4C0DA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B7A2C8E"/>
    <w:multiLevelType w:val="hybridMultilevel"/>
    <w:tmpl w:val="F1F01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605D12"/>
    <w:multiLevelType w:val="hybridMultilevel"/>
    <w:tmpl w:val="5818284C"/>
    <w:lvl w:ilvl="0" w:tplc="E2D46E3C">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05304C2"/>
    <w:multiLevelType w:val="hybridMultilevel"/>
    <w:tmpl w:val="F23EE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2190257"/>
    <w:multiLevelType w:val="multilevel"/>
    <w:tmpl w:val="9AD66D0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3110B8A"/>
    <w:multiLevelType w:val="hybridMultilevel"/>
    <w:tmpl w:val="A1AEFA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CF11732"/>
    <w:multiLevelType w:val="hybridMultilevel"/>
    <w:tmpl w:val="A35807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63F1CD5"/>
    <w:multiLevelType w:val="multilevel"/>
    <w:tmpl w:val="B1C2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8550103">
    <w:abstractNumId w:val="3"/>
  </w:num>
  <w:num w:numId="2" w16cid:durableId="430122698">
    <w:abstractNumId w:val="10"/>
  </w:num>
  <w:num w:numId="3" w16cid:durableId="1124999364">
    <w:abstractNumId w:val="8"/>
  </w:num>
  <w:num w:numId="4" w16cid:durableId="363135219">
    <w:abstractNumId w:val="6"/>
  </w:num>
  <w:num w:numId="5" w16cid:durableId="1373847360">
    <w:abstractNumId w:val="5"/>
  </w:num>
  <w:num w:numId="6" w16cid:durableId="2052807266">
    <w:abstractNumId w:val="1"/>
  </w:num>
  <w:num w:numId="7" w16cid:durableId="1590848802">
    <w:abstractNumId w:val="0"/>
  </w:num>
  <w:num w:numId="8" w16cid:durableId="2131046528">
    <w:abstractNumId w:val="11"/>
  </w:num>
  <w:num w:numId="9" w16cid:durableId="1412578576">
    <w:abstractNumId w:val="2"/>
  </w:num>
  <w:num w:numId="10" w16cid:durableId="1466391384">
    <w:abstractNumId w:val="4"/>
  </w:num>
  <w:num w:numId="11" w16cid:durableId="1041176388">
    <w:abstractNumId w:val="12"/>
  </w:num>
  <w:num w:numId="12" w16cid:durableId="78018956">
    <w:abstractNumId w:val="9"/>
  </w:num>
  <w:num w:numId="13" w16cid:durableId="3982101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1304"/>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BA"/>
    <w:rsid w:val="0000631D"/>
    <w:rsid w:val="000131F0"/>
    <w:rsid w:val="000246D8"/>
    <w:rsid w:val="0002705F"/>
    <w:rsid w:val="00054F15"/>
    <w:rsid w:val="00070866"/>
    <w:rsid w:val="00073E11"/>
    <w:rsid w:val="00081BCE"/>
    <w:rsid w:val="00091BDD"/>
    <w:rsid w:val="000A64EE"/>
    <w:rsid w:val="000A7165"/>
    <w:rsid w:val="000B3F40"/>
    <w:rsid w:val="000B4941"/>
    <w:rsid w:val="000B7F57"/>
    <w:rsid w:val="000C279F"/>
    <w:rsid w:val="000C4498"/>
    <w:rsid w:val="000D3749"/>
    <w:rsid w:val="001023FD"/>
    <w:rsid w:val="001136BF"/>
    <w:rsid w:val="00114F01"/>
    <w:rsid w:val="00117E1B"/>
    <w:rsid w:val="001222FE"/>
    <w:rsid w:val="00124CCA"/>
    <w:rsid w:val="00133084"/>
    <w:rsid w:val="00134ADD"/>
    <w:rsid w:val="0015531C"/>
    <w:rsid w:val="00156853"/>
    <w:rsid w:val="00160F65"/>
    <w:rsid w:val="001835BA"/>
    <w:rsid w:val="00186E7E"/>
    <w:rsid w:val="00190C41"/>
    <w:rsid w:val="00195F45"/>
    <w:rsid w:val="001C4DED"/>
    <w:rsid w:val="001E569E"/>
    <w:rsid w:val="00220875"/>
    <w:rsid w:val="002333F1"/>
    <w:rsid w:val="002552C5"/>
    <w:rsid w:val="00260383"/>
    <w:rsid w:val="00263881"/>
    <w:rsid w:val="00264802"/>
    <w:rsid w:val="00275094"/>
    <w:rsid w:val="00276DFC"/>
    <w:rsid w:val="0028452B"/>
    <w:rsid w:val="002B3F63"/>
    <w:rsid w:val="002B63D1"/>
    <w:rsid w:val="002C386E"/>
    <w:rsid w:val="002F40D4"/>
    <w:rsid w:val="0030348E"/>
    <w:rsid w:val="0032796A"/>
    <w:rsid w:val="00344197"/>
    <w:rsid w:val="0034736D"/>
    <w:rsid w:val="00347407"/>
    <w:rsid w:val="00355376"/>
    <w:rsid w:val="00381A63"/>
    <w:rsid w:val="00390988"/>
    <w:rsid w:val="003938FA"/>
    <w:rsid w:val="003976C9"/>
    <w:rsid w:val="003B3078"/>
    <w:rsid w:val="003B6B59"/>
    <w:rsid w:val="003D51F2"/>
    <w:rsid w:val="003E11B6"/>
    <w:rsid w:val="003E6675"/>
    <w:rsid w:val="003F099A"/>
    <w:rsid w:val="00416D1E"/>
    <w:rsid w:val="0042543C"/>
    <w:rsid w:val="0044195E"/>
    <w:rsid w:val="00445F0E"/>
    <w:rsid w:val="004904B3"/>
    <w:rsid w:val="00495A61"/>
    <w:rsid w:val="004A3E50"/>
    <w:rsid w:val="004A426A"/>
    <w:rsid w:val="004C29B3"/>
    <w:rsid w:val="004C2E64"/>
    <w:rsid w:val="004D3948"/>
    <w:rsid w:val="004D420D"/>
    <w:rsid w:val="004D4C81"/>
    <w:rsid w:val="004E2F04"/>
    <w:rsid w:val="004E6BEC"/>
    <w:rsid w:val="00500C86"/>
    <w:rsid w:val="00512693"/>
    <w:rsid w:val="00515DE7"/>
    <w:rsid w:val="0052514F"/>
    <w:rsid w:val="005331B8"/>
    <w:rsid w:val="00533D12"/>
    <w:rsid w:val="00544995"/>
    <w:rsid w:val="00555776"/>
    <w:rsid w:val="00566DEA"/>
    <w:rsid w:val="0057133F"/>
    <w:rsid w:val="00585F8D"/>
    <w:rsid w:val="005D04D1"/>
    <w:rsid w:val="005D07E2"/>
    <w:rsid w:val="005E5710"/>
    <w:rsid w:val="006036F6"/>
    <w:rsid w:val="0061301B"/>
    <w:rsid w:val="00614AEC"/>
    <w:rsid w:val="0061771C"/>
    <w:rsid w:val="00617BB2"/>
    <w:rsid w:val="0062076E"/>
    <w:rsid w:val="00632DB2"/>
    <w:rsid w:val="00634020"/>
    <w:rsid w:val="00642527"/>
    <w:rsid w:val="0064310D"/>
    <w:rsid w:val="0066210C"/>
    <w:rsid w:val="00680BBA"/>
    <w:rsid w:val="00687F76"/>
    <w:rsid w:val="006A7503"/>
    <w:rsid w:val="006A771C"/>
    <w:rsid w:val="006B11D2"/>
    <w:rsid w:val="006B64EA"/>
    <w:rsid w:val="006B669A"/>
    <w:rsid w:val="006C55E3"/>
    <w:rsid w:val="006D4681"/>
    <w:rsid w:val="006F3097"/>
    <w:rsid w:val="006F490F"/>
    <w:rsid w:val="00705E22"/>
    <w:rsid w:val="00713C47"/>
    <w:rsid w:val="00714C23"/>
    <w:rsid w:val="00734D20"/>
    <w:rsid w:val="0073610E"/>
    <w:rsid w:val="007439C3"/>
    <w:rsid w:val="007675D0"/>
    <w:rsid w:val="007712DE"/>
    <w:rsid w:val="0077168E"/>
    <w:rsid w:val="00772EEF"/>
    <w:rsid w:val="0078061F"/>
    <w:rsid w:val="00781D2B"/>
    <w:rsid w:val="00794C5F"/>
    <w:rsid w:val="007A4DE2"/>
    <w:rsid w:val="007B4341"/>
    <w:rsid w:val="007D3A16"/>
    <w:rsid w:val="007D59C1"/>
    <w:rsid w:val="007F5003"/>
    <w:rsid w:val="007F5F4B"/>
    <w:rsid w:val="00800BF5"/>
    <w:rsid w:val="0080386C"/>
    <w:rsid w:val="008166D0"/>
    <w:rsid w:val="0082192E"/>
    <w:rsid w:val="00822100"/>
    <w:rsid w:val="00823E4A"/>
    <w:rsid w:val="0086136B"/>
    <w:rsid w:val="00887F16"/>
    <w:rsid w:val="00890C83"/>
    <w:rsid w:val="008972A9"/>
    <w:rsid w:val="008A66DA"/>
    <w:rsid w:val="008D1347"/>
    <w:rsid w:val="008E0093"/>
    <w:rsid w:val="00903A97"/>
    <w:rsid w:val="00906A3C"/>
    <w:rsid w:val="00912391"/>
    <w:rsid w:val="00927A0B"/>
    <w:rsid w:val="009318D1"/>
    <w:rsid w:val="00931DC5"/>
    <w:rsid w:val="0093560D"/>
    <w:rsid w:val="009512F6"/>
    <w:rsid w:val="009522DB"/>
    <w:rsid w:val="00964BD0"/>
    <w:rsid w:val="009668F3"/>
    <w:rsid w:val="00966A31"/>
    <w:rsid w:val="00970EF9"/>
    <w:rsid w:val="00987942"/>
    <w:rsid w:val="009941AB"/>
    <w:rsid w:val="009A0A66"/>
    <w:rsid w:val="009A10DA"/>
    <w:rsid w:val="009C4FDD"/>
    <w:rsid w:val="009C784E"/>
    <w:rsid w:val="009D505E"/>
    <w:rsid w:val="009D6002"/>
    <w:rsid w:val="009E2823"/>
    <w:rsid w:val="009E74B5"/>
    <w:rsid w:val="00A0091D"/>
    <w:rsid w:val="00A02B0C"/>
    <w:rsid w:val="00A25598"/>
    <w:rsid w:val="00A3394F"/>
    <w:rsid w:val="00A5041B"/>
    <w:rsid w:val="00A64802"/>
    <w:rsid w:val="00A65616"/>
    <w:rsid w:val="00A7693E"/>
    <w:rsid w:val="00A84D90"/>
    <w:rsid w:val="00AA0218"/>
    <w:rsid w:val="00AA389B"/>
    <w:rsid w:val="00AB011D"/>
    <w:rsid w:val="00AB364B"/>
    <w:rsid w:val="00AB39C2"/>
    <w:rsid w:val="00AB43DA"/>
    <w:rsid w:val="00AB5DAA"/>
    <w:rsid w:val="00AC27A3"/>
    <w:rsid w:val="00AC5106"/>
    <w:rsid w:val="00AD10F1"/>
    <w:rsid w:val="00AE5E0D"/>
    <w:rsid w:val="00AF2438"/>
    <w:rsid w:val="00B002CC"/>
    <w:rsid w:val="00B133C0"/>
    <w:rsid w:val="00B17F07"/>
    <w:rsid w:val="00B23603"/>
    <w:rsid w:val="00B4519A"/>
    <w:rsid w:val="00B56F09"/>
    <w:rsid w:val="00B56F61"/>
    <w:rsid w:val="00B66DFA"/>
    <w:rsid w:val="00B716F8"/>
    <w:rsid w:val="00B82C8F"/>
    <w:rsid w:val="00B85978"/>
    <w:rsid w:val="00B91F14"/>
    <w:rsid w:val="00BA5936"/>
    <w:rsid w:val="00BA6651"/>
    <w:rsid w:val="00BB4C55"/>
    <w:rsid w:val="00BD74AB"/>
    <w:rsid w:val="00BF3C3B"/>
    <w:rsid w:val="00BF59E2"/>
    <w:rsid w:val="00C003FD"/>
    <w:rsid w:val="00C07840"/>
    <w:rsid w:val="00C14ACD"/>
    <w:rsid w:val="00C21585"/>
    <w:rsid w:val="00C2773D"/>
    <w:rsid w:val="00C30DDE"/>
    <w:rsid w:val="00C403F9"/>
    <w:rsid w:val="00C408CF"/>
    <w:rsid w:val="00C53759"/>
    <w:rsid w:val="00C54AE0"/>
    <w:rsid w:val="00C6146C"/>
    <w:rsid w:val="00C71FC8"/>
    <w:rsid w:val="00C86E8E"/>
    <w:rsid w:val="00C93DED"/>
    <w:rsid w:val="00CA3C16"/>
    <w:rsid w:val="00CA7D70"/>
    <w:rsid w:val="00CB4B89"/>
    <w:rsid w:val="00CB6FE0"/>
    <w:rsid w:val="00CD4149"/>
    <w:rsid w:val="00CE3D7F"/>
    <w:rsid w:val="00CE61CD"/>
    <w:rsid w:val="00CF29F2"/>
    <w:rsid w:val="00D0600C"/>
    <w:rsid w:val="00D15614"/>
    <w:rsid w:val="00D1796C"/>
    <w:rsid w:val="00D26B4B"/>
    <w:rsid w:val="00D41207"/>
    <w:rsid w:val="00D448A1"/>
    <w:rsid w:val="00D63C3A"/>
    <w:rsid w:val="00D712EE"/>
    <w:rsid w:val="00D81AAD"/>
    <w:rsid w:val="00D85E67"/>
    <w:rsid w:val="00D90FE5"/>
    <w:rsid w:val="00D9108C"/>
    <w:rsid w:val="00DA60E9"/>
    <w:rsid w:val="00DB37A8"/>
    <w:rsid w:val="00DC1913"/>
    <w:rsid w:val="00DD1A5B"/>
    <w:rsid w:val="00DD77AE"/>
    <w:rsid w:val="00DD7EF7"/>
    <w:rsid w:val="00DE0B2B"/>
    <w:rsid w:val="00DE52A8"/>
    <w:rsid w:val="00DE5E34"/>
    <w:rsid w:val="00DF0BB9"/>
    <w:rsid w:val="00DF3B48"/>
    <w:rsid w:val="00E01C04"/>
    <w:rsid w:val="00E100B8"/>
    <w:rsid w:val="00E15FBC"/>
    <w:rsid w:val="00E27DBF"/>
    <w:rsid w:val="00E30843"/>
    <w:rsid w:val="00E309A1"/>
    <w:rsid w:val="00E35C7F"/>
    <w:rsid w:val="00E36537"/>
    <w:rsid w:val="00E46C3E"/>
    <w:rsid w:val="00E60391"/>
    <w:rsid w:val="00E745D8"/>
    <w:rsid w:val="00E773F8"/>
    <w:rsid w:val="00E951B2"/>
    <w:rsid w:val="00EA2A75"/>
    <w:rsid w:val="00EA2E0D"/>
    <w:rsid w:val="00EA3007"/>
    <w:rsid w:val="00EB5677"/>
    <w:rsid w:val="00EC2284"/>
    <w:rsid w:val="00EC57BB"/>
    <w:rsid w:val="00EE530A"/>
    <w:rsid w:val="00F03760"/>
    <w:rsid w:val="00F25BAC"/>
    <w:rsid w:val="00F311A7"/>
    <w:rsid w:val="00F3154E"/>
    <w:rsid w:val="00F36A7E"/>
    <w:rsid w:val="00F36CCA"/>
    <w:rsid w:val="00F41195"/>
    <w:rsid w:val="00F41758"/>
    <w:rsid w:val="00F429D1"/>
    <w:rsid w:val="00F51365"/>
    <w:rsid w:val="00F62A82"/>
    <w:rsid w:val="00F678E2"/>
    <w:rsid w:val="00F80187"/>
    <w:rsid w:val="00F8345E"/>
    <w:rsid w:val="00F87E10"/>
    <w:rsid w:val="00F90CB4"/>
    <w:rsid w:val="00F95021"/>
    <w:rsid w:val="00FA5A4D"/>
    <w:rsid w:val="00FE1453"/>
    <w:rsid w:val="00FE20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4908778"/>
  <w15:chartTrackingRefBased/>
  <w15:docId w15:val="{A97F9D93-E18E-4917-85AD-75A50DFE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1A7"/>
    <w:pPr>
      <w:spacing w:after="200" w:line="276" w:lineRule="auto"/>
    </w:pPr>
    <w:rPr>
      <w:sz w:val="22"/>
      <w:szCs w:val="22"/>
      <w:lang w:eastAsia="en-US"/>
    </w:rPr>
  </w:style>
  <w:style w:type="paragraph" w:styleId="Rubrik1">
    <w:name w:val="heading 1"/>
    <w:basedOn w:val="Normal"/>
    <w:next w:val="Normal"/>
    <w:link w:val="Rubrik1Char"/>
    <w:qFormat/>
    <w:rsid w:val="00680BBA"/>
    <w:pPr>
      <w:keepNext/>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link w:val="Rubrik2Char"/>
    <w:qFormat/>
    <w:rsid w:val="00680BBA"/>
    <w:pPr>
      <w:keepNext/>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link w:val="Rubrik3Char"/>
    <w:qFormat/>
    <w:rsid w:val="00133084"/>
    <w:pPr>
      <w:keepNext/>
      <w:spacing w:before="240" w:after="60" w:line="240" w:lineRule="auto"/>
      <w:outlineLvl w:val="2"/>
    </w:pPr>
    <w:rPr>
      <w:rFonts w:ascii="Arial" w:eastAsia="Times New Roman" w:hAnsi="Arial" w:cs="Arial"/>
      <w:b/>
      <w:bCs/>
      <w:sz w:val="26"/>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680BBA"/>
    <w:rPr>
      <w:rFonts w:ascii="Arial" w:eastAsia="Times New Roman" w:hAnsi="Arial" w:cs="Arial"/>
      <w:b/>
      <w:bCs/>
      <w:kern w:val="32"/>
      <w:sz w:val="32"/>
      <w:szCs w:val="32"/>
      <w:lang w:eastAsia="sv-SE"/>
    </w:rPr>
  </w:style>
  <w:style w:type="character" w:customStyle="1" w:styleId="Rubrik2Char">
    <w:name w:val="Rubrik 2 Char"/>
    <w:link w:val="Rubrik2"/>
    <w:rsid w:val="00680BBA"/>
    <w:rPr>
      <w:rFonts w:ascii="Arial" w:eastAsia="Times New Roman" w:hAnsi="Arial" w:cs="Arial"/>
      <w:b/>
      <w:bCs/>
      <w:i/>
      <w:iCs/>
      <w:sz w:val="28"/>
      <w:szCs w:val="28"/>
      <w:lang w:eastAsia="sv-SE"/>
    </w:rPr>
  </w:style>
  <w:style w:type="paragraph" w:styleId="Innehll3">
    <w:name w:val="toc 3"/>
    <w:basedOn w:val="Normal"/>
    <w:next w:val="Normal"/>
    <w:autoRedefine/>
    <w:uiPriority w:val="39"/>
    <w:rsid w:val="00680BBA"/>
    <w:pPr>
      <w:spacing w:after="0" w:line="240" w:lineRule="auto"/>
      <w:ind w:left="480"/>
    </w:pPr>
    <w:rPr>
      <w:rFonts w:ascii="Times New Roman" w:eastAsia="Times New Roman" w:hAnsi="Times New Roman"/>
      <w:szCs w:val="20"/>
    </w:rPr>
  </w:style>
  <w:style w:type="paragraph" w:styleId="Innehll1">
    <w:name w:val="toc 1"/>
    <w:basedOn w:val="Normal"/>
    <w:next w:val="Normal"/>
    <w:autoRedefine/>
    <w:uiPriority w:val="39"/>
    <w:rsid w:val="00680BBA"/>
    <w:pPr>
      <w:tabs>
        <w:tab w:val="left" w:pos="480"/>
        <w:tab w:val="right" w:leader="dot" w:pos="9062"/>
      </w:tabs>
      <w:spacing w:after="0" w:line="240" w:lineRule="auto"/>
    </w:pPr>
    <w:rPr>
      <w:rFonts w:ascii="Times New Roman" w:eastAsia="Times New Roman" w:hAnsi="Times New Roman"/>
      <w:b/>
      <w:noProof/>
      <w:sz w:val="24"/>
      <w:szCs w:val="24"/>
      <w:lang w:eastAsia="sv-SE"/>
    </w:rPr>
  </w:style>
  <w:style w:type="paragraph" w:styleId="Innehll2">
    <w:name w:val="toc 2"/>
    <w:basedOn w:val="Normal"/>
    <w:next w:val="Normal"/>
    <w:autoRedefine/>
    <w:uiPriority w:val="39"/>
    <w:rsid w:val="00680BBA"/>
    <w:pPr>
      <w:spacing w:after="0" w:line="240" w:lineRule="auto"/>
      <w:ind w:left="240"/>
    </w:pPr>
    <w:rPr>
      <w:rFonts w:ascii="Times New Roman" w:eastAsia="Times New Roman" w:hAnsi="Times New Roman"/>
      <w:sz w:val="24"/>
      <w:szCs w:val="24"/>
      <w:lang w:eastAsia="sv-SE"/>
    </w:rPr>
  </w:style>
  <w:style w:type="character" w:styleId="Hyperlnk">
    <w:name w:val="Hyperlink"/>
    <w:uiPriority w:val="99"/>
    <w:rsid w:val="00680BBA"/>
    <w:rPr>
      <w:color w:val="0000FF"/>
      <w:u w:val="single"/>
    </w:rPr>
  </w:style>
  <w:style w:type="character" w:customStyle="1" w:styleId="Rubrik3Char">
    <w:name w:val="Rubrik 3 Char"/>
    <w:link w:val="Rubrik3"/>
    <w:rsid w:val="00133084"/>
    <w:rPr>
      <w:rFonts w:ascii="Arial" w:eastAsia="Times New Roman" w:hAnsi="Arial" w:cs="Arial"/>
      <w:b/>
      <w:bCs/>
      <w:sz w:val="26"/>
      <w:szCs w:val="26"/>
      <w:lang w:eastAsia="sv-SE"/>
    </w:rPr>
  </w:style>
  <w:style w:type="paragraph" w:styleId="Liststycke">
    <w:name w:val="List Paragraph"/>
    <w:basedOn w:val="Normal"/>
    <w:uiPriority w:val="34"/>
    <w:qFormat/>
    <w:rsid w:val="00CE61CD"/>
    <w:pPr>
      <w:ind w:left="720"/>
      <w:contextualSpacing/>
    </w:pPr>
  </w:style>
  <w:style w:type="table" w:styleId="Tabellrutnt">
    <w:name w:val="Table Grid"/>
    <w:basedOn w:val="Normaltabell"/>
    <w:uiPriority w:val="59"/>
    <w:rsid w:val="00F87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4D90"/>
    <w:pPr>
      <w:autoSpaceDE w:val="0"/>
      <w:autoSpaceDN w:val="0"/>
      <w:adjustRightInd w:val="0"/>
    </w:pPr>
    <w:rPr>
      <w:rFonts w:ascii="Times New Roman" w:hAnsi="Times New Roman"/>
      <w:color w:val="000000"/>
      <w:sz w:val="24"/>
      <w:szCs w:val="24"/>
    </w:rPr>
  </w:style>
  <w:style w:type="paragraph" w:styleId="Sidhuvud">
    <w:name w:val="header"/>
    <w:basedOn w:val="Normal"/>
    <w:link w:val="SidhuvudChar"/>
    <w:uiPriority w:val="99"/>
    <w:unhideWhenUsed/>
    <w:rsid w:val="00931DC5"/>
    <w:pPr>
      <w:tabs>
        <w:tab w:val="center" w:pos="4536"/>
        <w:tab w:val="right" w:pos="9072"/>
      </w:tabs>
    </w:pPr>
  </w:style>
  <w:style w:type="character" w:customStyle="1" w:styleId="SidhuvudChar">
    <w:name w:val="Sidhuvud Char"/>
    <w:link w:val="Sidhuvud"/>
    <w:uiPriority w:val="99"/>
    <w:rsid w:val="00931DC5"/>
    <w:rPr>
      <w:sz w:val="22"/>
      <w:szCs w:val="22"/>
      <w:lang w:eastAsia="en-US"/>
    </w:rPr>
  </w:style>
  <w:style w:type="paragraph" w:styleId="Sidfot">
    <w:name w:val="footer"/>
    <w:basedOn w:val="Normal"/>
    <w:link w:val="SidfotChar"/>
    <w:uiPriority w:val="99"/>
    <w:unhideWhenUsed/>
    <w:rsid w:val="00931DC5"/>
    <w:pPr>
      <w:tabs>
        <w:tab w:val="center" w:pos="4536"/>
        <w:tab w:val="right" w:pos="9072"/>
      </w:tabs>
    </w:pPr>
  </w:style>
  <w:style w:type="character" w:customStyle="1" w:styleId="SidfotChar">
    <w:name w:val="Sidfot Char"/>
    <w:link w:val="Sidfot"/>
    <w:uiPriority w:val="99"/>
    <w:rsid w:val="00931DC5"/>
    <w:rPr>
      <w:sz w:val="22"/>
      <w:szCs w:val="22"/>
      <w:lang w:eastAsia="en-US"/>
    </w:rPr>
  </w:style>
  <w:style w:type="paragraph" w:customStyle="1" w:styleId="Normal1">
    <w:name w:val="Normal1"/>
    <w:basedOn w:val="Normal"/>
    <w:rsid w:val="009D505E"/>
    <w:pPr>
      <w:spacing w:before="15" w:after="120" w:line="312" w:lineRule="auto"/>
    </w:pPr>
    <w:rPr>
      <w:rFonts w:ascii="Verdana" w:eastAsia="Times New Roman" w:hAnsi="Verdana"/>
      <w:color w:val="111111"/>
      <w:sz w:val="28"/>
      <w:szCs w:val="28"/>
      <w:lang w:eastAsia="sv-SE"/>
    </w:rPr>
  </w:style>
  <w:style w:type="paragraph" w:styleId="Ballongtext">
    <w:name w:val="Balloon Text"/>
    <w:basedOn w:val="Normal"/>
    <w:link w:val="BallongtextChar"/>
    <w:uiPriority w:val="99"/>
    <w:semiHidden/>
    <w:unhideWhenUsed/>
    <w:rsid w:val="00AB011D"/>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AB011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03662">
      <w:bodyDiv w:val="1"/>
      <w:marLeft w:val="0"/>
      <w:marRight w:val="0"/>
      <w:marTop w:val="0"/>
      <w:marBottom w:val="0"/>
      <w:divBdr>
        <w:top w:val="none" w:sz="0" w:space="0" w:color="auto"/>
        <w:left w:val="none" w:sz="0" w:space="0" w:color="auto"/>
        <w:bottom w:val="none" w:sz="0" w:space="0" w:color="auto"/>
        <w:right w:val="none" w:sz="0" w:space="0" w:color="auto"/>
      </w:divBdr>
      <w:divsChild>
        <w:div w:id="16853913">
          <w:marLeft w:val="547"/>
          <w:marRight w:val="0"/>
          <w:marTop w:val="115"/>
          <w:marBottom w:val="0"/>
          <w:divBdr>
            <w:top w:val="none" w:sz="0" w:space="0" w:color="auto"/>
            <w:left w:val="none" w:sz="0" w:space="0" w:color="auto"/>
            <w:bottom w:val="none" w:sz="0" w:space="0" w:color="auto"/>
            <w:right w:val="none" w:sz="0" w:space="0" w:color="auto"/>
          </w:divBdr>
        </w:div>
        <w:div w:id="465516017">
          <w:marLeft w:val="547"/>
          <w:marRight w:val="0"/>
          <w:marTop w:val="115"/>
          <w:marBottom w:val="0"/>
          <w:divBdr>
            <w:top w:val="none" w:sz="0" w:space="0" w:color="auto"/>
            <w:left w:val="none" w:sz="0" w:space="0" w:color="auto"/>
            <w:bottom w:val="none" w:sz="0" w:space="0" w:color="auto"/>
            <w:right w:val="none" w:sz="0" w:space="0" w:color="auto"/>
          </w:divBdr>
        </w:div>
        <w:div w:id="1845436225">
          <w:marLeft w:val="547"/>
          <w:marRight w:val="0"/>
          <w:marTop w:val="115"/>
          <w:marBottom w:val="0"/>
          <w:divBdr>
            <w:top w:val="none" w:sz="0" w:space="0" w:color="auto"/>
            <w:left w:val="none" w:sz="0" w:space="0" w:color="auto"/>
            <w:bottom w:val="none" w:sz="0" w:space="0" w:color="auto"/>
            <w:right w:val="none" w:sz="0" w:space="0" w:color="auto"/>
          </w:divBdr>
        </w:div>
      </w:divsChild>
    </w:div>
    <w:div w:id="562714351">
      <w:bodyDiv w:val="1"/>
      <w:marLeft w:val="0"/>
      <w:marRight w:val="0"/>
      <w:marTop w:val="0"/>
      <w:marBottom w:val="0"/>
      <w:divBdr>
        <w:top w:val="none" w:sz="0" w:space="0" w:color="auto"/>
        <w:left w:val="none" w:sz="0" w:space="0" w:color="auto"/>
        <w:bottom w:val="none" w:sz="0" w:space="0" w:color="auto"/>
        <w:right w:val="none" w:sz="0" w:space="0" w:color="auto"/>
      </w:divBdr>
      <w:divsChild>
        <w:div w:id="15736271">
          <w:marLeft w:val="547"/>
          <w:marRight w:val="0"/>
          <w:marTop w:val="115"/>
          <w:marBottom w:val="0"/>
          <w:divBdr>
            <w:top w:val="none" w:sz="0" w:space="0" w:color="auto"/>
            <w:left w:val="none" w:sz="0" w:space="0" w:color="auto"/>
            <w:bottom w:val="none" w:sz="0" w:space="0" w:color="auto"/>
            <w:right w:val="none" w:sz="0" w:space="0" w:color="auto"/>
          </w:divBdr>
        </w:div>
        <w:div w:id="647052452">
          <w:marLeft w:val="547"/>
          <w:marRight w:val="0"/>
          <w:marTop w:val="115"/>
          <w:marBottom w:val="0"/>
          <w:divBdr>
            <w:top w:val="none" w:sz="0" w:space="0" w:color="auto"/>
            <w:left w:val="none" w:sz="0" w:space="0" w:color="auto"/>
            <w:bottom w:val="none" w:sz="0" w:space="0" w:color="auto"/>
            <w:right w:val="none" w:sz="0" w:space="0" w:color="auto"/>
          </w:divBdr>
        </w:div>
        <w:div w:id="1981496131">
          <w:marLeft w:val="547"/>
          <w:marRight w:val="0"/>
          <w:marTop w:val="115"/>
          <w:marBottom w:val="0"/>
          <w:divBdr>
            <w:top w:val="none" w:sz="0" w:space="0" w:color="auto"/>
            <w:left w:val="none" w:sz="0" w:space="0" w:color="auto"/>
            <w:bottom w:val="none" w:sz="0" w:space="0" w:color="auto"/>
            <w:right w:val="none" w:sz="0" w:space="0" w:color="auto"/>
          </w:divBdr>
        </w:div>
      </w:divsChild>
    </w:div>
    <w:div w:id="1098867812">
      <w:bodyDiv w:val="1"/>
      <w:marLeft w:val="0"/>
      <w:marRight w:val="0"/>
      <w:marTop w:val="0"/>
      <w:marBottom w:val="0"/>
      <w:divBdr>
        <w:top w:val="none" w:sz="0" w:space="0" w:color="auto"/>
        <w:left w:val="none" w:sz="0" w:space="0" w:color="auto"/>
        <w:bottom w:val="none" w:sz="0" w:space="0" w:color="auto"/>
        <w:right w:val="none" w:sz="0" w:space="0" w:color="auto"/>
      </w:divBdr>
    </w:div>
    <w:div w:id="1765104891">
      <w:bodyDiv w:val="1"/>
      <w:marLeft w:val="0"/>
      <w:marRight w:val="0"/>
      <w:marTop w:val="0"/>
      <w:marBottom w:val="0"/>
      <w:divBdr>
        <w:top w:val="none" w:sz="0" w:space="0" w:color="auto"/>
        <w:left w:val="none" w:sz="0" w:space="0" w:color="auto"/>
        <w:bottom w:val="none" w:sz="0" w:space="0" w:color="auto"/>
        <w:right w:val="none" w:sz="0" w:space="0" w:color="auto"/>
      </w:divBdr>
      <w:divsChild>
        <w:div w:id="1933080056">
          <w:marLeft w:val="0"/>
          <w:marRight w:val="0"/>
          <w:marTop w:val="0"/>
          <w:marBottom w:val="0"/>
          <w:divBdr>
            <w:top w:val="none" w:sz="0" w:space="0" w:color="auto"/>
            <w:left w:val="none" w:sz="0" w:space="0" w:color="auto"/>
            <w:bottom w:val="none" w:sz="0" w:space="0" w:color="auto"/>
            <w:right w:val="none" w:sz="0" w:space="0" w:color="auto"/>
          </w:divBdr>
          <w:divsChild>
            <w:div w:id="431705073">
              <w:marLeft w:val="0"/>
              <w:marRight w:val="0"/>
              <w:marTop w:val="0"/>
              <w:marBottom w:val="0"/>
              <w:divBdr>
                <w:top w:val="none" w:sz="0" w:space="0" w:color="auto"/>
                <w:left w:val="none" w:sz="0" w:space="0" w:color="auto"/>
                <w:bottom w:val="none" w:sz="0" w:space="0" w:color="auto"/>
                <w:right w:val="none" w:sz="0" w:space="0" w:color="auto"/>
              </w:divBdr>
              <w:divsChild>
                <w:div w:id="1371686093">
                  <w:marLeft w:val="0"/>
                  <w:marRight w:val="0"/>
                  <w:marTop w:val="0"/>
                  <w:marBottom w:val="0"/>
                  <w:divBdr>
                    <w:top w:val="none" w:sz="0" w:space="0" w:color="auto"/>
                    <w:left w:val="none" w:sz="0" w:space="0" w:color="auto"/>
                    <w:bottom w:val="none" w:sz="0" w:space="0" w:color="auto"/>
                    <w:right w:val="none" w:sz="0" w:space="0" w:color="auto"/>
                  </w:divBdr>
                  <w:divsChild>
                    <w:div w:id="117262483">
                      <w:marLeft w:val="0"/>
                      <w:marRight w:val="0"/>
                      <w:marTop w:val="0"/>
                      <w:marBottom w:val="0"/>
                      <w:divBdr>
                        <w:top w:val="none" w:sz="0" w:space="0" w:color="auto"/>
                        <w:left w:val="none" w:sz="0" w:space="0" w:color="auto"/>
                        <w:bottom w:val="none" w:sz="0" w:space="0" w:color="auto"/>
                        <w:right w:val="none" w:sz="0" w:space="0" w:color="auto"/>
                      </w:divBdr>
                      <w:divsChild>
                        <w:div w:id="1250583409">
                          <w:marLeft w:val="0"/>
                          <w:marRight w:val="0"/>
                          <w:marTop w:val="0"/>
                          <w:marBottom w:val="0"/>
                          <w:divBdr>
                            <w:top w:val="none" w:sz="0" w:space="0" w:color="auto"/>
                            <w:left w:val="none" w:sz="0" w:space="0" w:color="auto"/>
                            <w:bottom w:val="none" w:sz="0" w:space="0" w:color="auto"/>
                            <w:right w:val="none" w:sz="0" w:space="0" w:color="auto"/>
                          </w:divBdr>
                          <w:divsChild>
                            <w:div w:id="534268702">
                              <w:marLeft w:val="0"/>
                              <w:marRight w:val="0"/>
                              <w:marTop w:val="0"/>
                              <w:marBottom w:val="0"/>
                              <w:divBdr>
                                <w:top w:val="none" w:sz="0" w:space="0" w:color="auto"/>
                                <w:left w:val="none" w:sz="0" w:space="0" w:color="auto"/>
                                <w:bottom w:val="none" w:sz="0" w:space="0" w:color="auto"/>
                                <w:right w:val="none" w:sz="0" w:space="0" w:color="auto"/>
                              </w:divBdr>
                              <w:divsChild>
                                <w:div w:id="1263759385">
                                  <w:marLeft w:val="0"/>
                                  <w:marRight w:val="0"/>
                                  <w:marTop w:val="0"/>
                                  <w:marBottom w:val="0"/>
                                  <w:divBdr>
                                    <w:top w:val="none" w:sz="0" w:space="0" w:color="auto"/>
                                    <w:left w:val="none" w:sz="0" w:space="0" w:color="auto"/>
                                    <w:bottom w:val="none" w:sz="0" w:space="0" w:color="auto"/>
                                    <w:right w:val="none" w:sz="0" w:space="0" w:color="auto"/>
                                  </w:divBdr>
                                  <w:divsChild>
                                    <w:div w:id="1798178078">
                                      <w:marLeft w:val="0"/>
                                      <w:marRight w:val="0"/>
                                      <w:marTop w:val="0"/>
                                      <w:marBottom w:val="0"/>
                                      <w:divBdr>
                                        <w:top w:val="none" w:sz="0" w:space="0" w:color="auto"/>
                                        <w:left w:val="none" w:sz="0" w:space="0" w:color="auto"/>
                                        <w:bottom w:val="none" w:sz="0" w:space="0" w:color="auto"/>
                                        <w:right w:val="none" w:sz="0" w:space="0" w:color="auto"/>
                                      </w:divBdr>
                                      <w:divsChild>
                                        <w:div w:id="219218967">
                                          <w:marLeft w:val="0"/>
                                          <w:marRight w:val="0"/>
                                          <w:marTop w:val="0"/>
                                          <w:marBottom w:val="0"/>
                                          <w:divBdr>
                                            <w:top w:val="none" w:sz="0" w:space="0" w:color="auto"/>
                                            <w:left w:val="none" w:sz="0" w:space="0" w:color="auto"/>
                                            <w:bottom w:val="none" w:sz="0" w:space="0" w:color="auto"/>
                                            <w:right w:val="none" w:sz="0" w:space="0" w:color="auto"/>
                                          </w:divBdr>
                                          <w:divsChild>
                                            <w:div w:id="1530949750">
                                              <w:marLeft w:val="0"/>
                                              <w:marRight w:val="0"/>
                                              <w:marTop w:val="0"/>
                                              <w:marBottom w:val="0"/>
                                              <w:divBdr>
                                                <w:top w:val="none" w:sz="0" w:space="0" w:color="auto"/>
                                                <w:left w:val="none" w:sz="0" w:space="0" w:color="auto"/>
                                                <w:bottom w:val="none" w:sz="0" w:space="0" w:color="auto"/>
                                                <w:right w:val="none" w:sz="0" w:space="0" w:color="auto"/>
                                              </w:divBdr>
                                              <w:divsChild>
                                                <w:div w:id="5908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3DD2C-F5F4-458D-8ED0-CBEDEF97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14</Pages>
  <Words>3541</Words>
  <Characters>18773</Characters>
  <Application>Microsoft Office Word</Application>
  <DocSecurity>0</DocSecurity>
  <Lines>156</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Mittuniversitetet</Company>
  <LinksUpToDate>false</LinksUpToDate>
  <CharactersWithSpaces>22270</CharactersWithSpaces>
  <SharedDoc>false</SharedDoc>
  <HLinks>
    <vt:vector size="96" baseType="variant">
      <vt:variant>
        <vt:i4>1638453</vt:i4>
      </vt:variant>
      <vt:variant>
        <vt:i4>92</vt:i4>
      </vt:variant>
      <vt:variant>
        <vt:i4>0</vt:i4>
      </vt:variant>
      <vt:variant>
        <vt:i4>5</vt:i4>
      </vt:variant>
      <vt:variant>
        <vt:lpwstr/>
      </vt:variant>
      <vt:variant>
        <vt:lpwstr>_Toc484606565</vt:lpwstr>
      </vt:variant>
      <vt:variant>
        <vt:i4>1638453</vt:i4>
      </vt:variant>
      <vt:variant>
        <vt:i4>86</vt:i4>
      </vt:variant>
      <vt:variant>
        <vt:i4>0</vt:i4>
      </vt:variant>
      <vt:variant>
        <vt:i4>5</vt:i4>
      </vt:variant>
      <vt:variant>
        <vt:lpwstr/>
      </vt:variant>
      <vt:variant>
        <vt:lpwstr>_Toc484606564</vt:lpwstr>
      </vt:variant>
      <vt:variant>
        <vt:i4>1638453</vt:i4>
      </vt:variant>
      <vt:variant>
        <vt:i4>80</vt:i4>
      </vt:variant>
      <vt:variant>
        <vt:i4>0</vt:i4>
      </vt:variant>
      <vt:variant>
        <vt:i4>5</vt:i4>
      </vt:variant>
      <vt:variant>
        <vt:lpwstr/>
      </vt:variant>
      <vt:variant>
        <vt:lpwstr>_Toc484606563</vt:lpwstr>
      </vt:variant>
      <vt:variant>
        <vt:i4>1638453</vt:i4>
      </vt:variant>
      <vt:variant>
        <vt:i4>74</vt:i4>
      </vt:variant>
      <vt:variant>
        <vt:i4>0</vt:i4>
      </vt:variant>
      <vt:variant>
        <vt:i4>5</vt:i4>
      </vt:variant>
      <vt:variant>
        <vt:lpwstr/>
      </vt:variant>
      <vt:variant>
        <vt:lpwstr>_Toc484606562</vt:lpwstr>
      </vt:variant>
      <vt:variant>
        <vt:i4>1638453</vt:i4>
      </vt:variant>
      <vt:variant>
        <vt:i4>68</vt:i4>
      </vt:variant>
      <vt:variant>
        <vt:i4>0</vt:i4>
      </vt:variant>
      <vt:variant>
        <vt:i4>5</vt:i4>
      </vt:variant>
      <vt:variant>
        <vt:lpwstr/>
      </vt:variant>
      <vt:variant>
        <vt:lpwstr>_Toc484606561</vt:lpwstr>
      </vt:variant>
      <vt:variant>
        <vt:i4>1638453</vt:i4>
      </vt:variant>
      <vt:variant>
        <vt:i4>62</vt:i4>
      </vt:variant>
      <vt:variant>
        <vt:i4>0</vt:i4>
      </vt:variant>
      <vt:variant>
        <vt:i4>5</vt:i4>
      </vt:variant>
      <vt:variant>
        <vt:lpwstr/>
      </vt:variant>
      <vt:variant>
        <vt:lpwstr>_Toc484606560</vt:lpwstr>
      </vt:variant>
      <vt:variant>
        <vt:i4>1703989</vt:i4>
      </vt:variant>
      <vt:variant>
        <vt:i4>56</vt:i4>
      </vt:variant>
      <vt:variant>
        <vt:i4>0</vt:i4>
      </vt:variant>
      <vt:variant>
        <vt:i4>5</vt:i4>
      </vt:variant>
      <vt:variant>
        <vt:lpwstr/>
      </vt:variant>
      <vt:variant>
        <vt:lpwstr>_Toc484606559</vt:lpwstr>
      </vt:variant>
      <vt:variant>
        <vt:i4>1703989</vt:i4>
      </vt:variant>
      <vt:variant>
        <vt:i4>50</vt:i4>
      </vt:variant>
      <vt:variant>
        <vt:i4>0</vt:i4>
      </vt:variant>
      <vt:variant>
        <vt:i4>5</vt:i4>
      </vt:variant>
      <vt:variant>
        <vt:lpwstr/>
      </vt:variant>
      <vt:variant>
        <vt:lpwstr>_Toc484606558</vt:lpwstr>
      </vt:variant>
      <vt:variant>
        <vt:i4>1703989</vt:i4>
      </vt:variant>
      <vt:variant>
        <vt:i4>44</vt:i4>
      </vt:variant>
      <vt:variant>
        <vt:i4>0</vt:i4>
      </vt:variant>
      <vt:variant>
        <vt:i4>5</vt:i4>
      </vt:variant>
      <vt:variant>
        <vt:lpwstr/>
      </vt:variant>
      <vt:variant>
        <vt:lpwstr>_Toc484606557</vt:lpwstr>
      </vt:variant>
      <vt:variant>
        <vt:i4>1703989</vt:i4>
      </vt:variant>
      <vt:variant>
        <vt:i4>38</vt:i4>
      </vt:variant>
      <vt:variant>
        <vt:i4>0</vt:i4>
      </vt:variant>
      <vt:variant>
        <vt:i4>5</vt:i4>
      </vt:variant>
      <vt:variant>
        <vt:lpwstr/>
      </vt:variant>
      <vt:variant>
        <vt:lpwstr>_Toc484606556</vt:lpwstr>
      </vt:variant>
      <vt:variant>
        <vt:i4>1703989</vt:i4>
      </vt:variant>
      <vt:variant>
        <vt:i4>32</vt:i4>
      </vt:variant>
      <vt:variant>
        <vt:i4>0</vt:i4>
      </vt:variant>
      <vt:variant>
        <vt:i4>5</vt:i4>
      </vt:variant>
      <vt:variant>
        <vt:lpwstr/>
      </vt:variant>
      <vt:variant>
        <vt:lpwstr>_Toc484606555</vt:lpwstr>
      </vt:variant>
      <vt:variant>
        <vt:i4>1703989</vt:i4>
      </vt:variant>
      <vt:variant>
        <vt:i4>26</vt:i4>
      </vt:variant>
      <vt:variant>
        <vt:i4>0</vt:i4>
      </vt:variant>
      <vt:variant>
        <vt:i4>5</vt:i4>
      </vt:variant>
      <vt:variant>
        <vt:lpwstr/>
      </vt:variant>
      <vt:variant>
        <vt:lpwstr>_Toc484606554</vt:lpwstr>
      </vt:variant>
      <vt:variant>
        <vt:i4>1703989</vt:i4>
      </vt:variant>
      <vt:variant>
        <vt:i4>20</vt:i4>
      </vt:variant>
      <vt:variant>
        <vt:i4>0</vt:i4>
      </vt:variant>
      <vt:variant>
        <vt:i4>5</vt:i4>
      </vt:variant>
      <vt:variant>
        <vt:lpwstr/>
      </vt:variant>
      <vt:variant>
        <vt:lpwstr>_Toc484606553</vt:lpwstr>
      </vt:variant>
      <vt:variant>
        <vt:i4>1703989</vt:i4>
      </vt:variant>
      <vt:variant>
        <vt:i4>14</vt:i4>
      </vt:variant>
      <vt:variant>
        <vt:i4>0</vt:i4>
      </vt:variant>
      <vt:variant>
        <vt:i4>5</vt:i4>
      </vt:variant>
      <vt:variant>
        <vt:lpwstr/>
      </vt:variant>
      <vt:variant>
        <vt:lpwstr>_Toc484606552</vt:lpwstr>
      </vt:variant>
      <vt:variant>
        <vt:i4>1703989</vt:i4>
      </vt:variant>
      <vt:variant>
        <vt:i4>8</vt:i4>
      </vt:variant>
      <vt:variant>
        <vt:i4>0</vt:i4>
      </vt:variant>
      <vt:variant>
        <vt:i4>5</vt:i4>
      </vt:variant>
      <vt:variant>
        <vt:lpwstr/>
      </vt:variant>
      <vt:variant>
        <vt:lpwstr>_Toc484606551</vt:lpwstr>
      </vt:variant>
      <vt:variant>
        <vt:i4>1703989</vt:i4>
      </vt:variant>
      <vt:variant>
        <vt:i4>2</vt:i4>
      </vt:variant>
      <vt:variant>
        <vt:i4>0</vt:i4>
      </vt:variant>
      <vt:variant>
        <vt:i4>5</vt:i4>
      </vt:variant>
      <vt:variant>
        <vt:lpwstr/>
      </vt:variant>
      <vt:variant>
        <vt:lpwstr>_Toc484606550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Wiik</dc:creator>
  <cp:keywords/>
  <cp:lastModifiedBy>Ingrid Hallberg</cp:lastModifiedBy>
  <cp:revision>33</cp:revision>
  <cp:lastPrinted>2017-01-05T10:51:00Z</cp:lastPrinted>
  <dcterms:created xsi:type="dcterms:W3CDTF">2020-05-25T09:04:00Z</dcterms:created>
  <dcterms:modified xsi:type="dcterms:W3CDTF">2024-04-02T15:21:00Z</dcterms:modified>
</cp:coreProperties>
</file>