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B4F1" w14:textId="53A3FFED" w:rsidR="00445860" w:rsidRDefault="00BF639E" w:rsidP="00110497">
      <w:pPr>
        <w:pStyle w:val="Rubrik1"/>
      </w:pPr>
      <w:r>
        <w:t>Informations</w:t>
      </w:r>
      <w:r w:rsidR="00110497">
        <w:t>klassning (konfidentialitet) och lagring</w:t>
      </w:r>
    </w:p>
    <w:p w14:paraId="0E57739B" w14:textId="559E1C82" w:rsidR="00BF639E" w:rsidRDefault="00BF639E" w:rsidP="00AC5EF1"/>
    <w:tbl>
      <w:tblPr>
        <w:tblStyle w:val="Tabellrutnt"/>
        <w:tblW w:w="4608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4331"/>
        <w:gridCol w:w="1618"/>
        <w:gridCol w:w="2853"/>
        <w:gridCol w:w="1752"/>
      </w:tblGrid>
      <w:tr w:rsidR="004A1CFE" w14:paraId="0FDB348A" w14:textId="2D337403" w:rsidTr="004A1CFE">
        <w:trPr>
          <w:trHeight w:hRule="exact" w:val="718"/>
        </w:trPr>
        <w:tc>
          <w:tcPr>
            <w:tcW w:w="909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288188FE" w14:textId="531C5FCF" w:rsidR="004A1CFE" w:rsidRDefault="004A1CFE" w:rsidP="00D962D7">
            <w:pPr>
              <w:pStyle w:val="Tabelltextfet"/>
            </w:pPr>
            <w:r>
              <w:t>Handling/dokument</w:t>
            </w:r>
          </w:p>
        </w:tc>
        <w:tc>
          <w:tcPr>
            <w:tcW w:w="1679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0C714B4C" w14:textId="1583D999" w:rsidR="004A1CFE" w:rsidRDefault="004A1CFE" w:rsidP="00110497">
            <w:pPr>
              <w:pStyle w:val="Tabelltextfet"/>
            </w:pPr>
            <w:r>
              <w:t>Innehåller (ange vilken typ av information handlingen/dokumentet innehåller)</w:t>
            </w:r>
          </w:p>
        </w:tc>
        <w:tc>
          <w:tcPr>
            <w:tcW w:w="627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71625FF9" w14:textId="7E3F7DFF" w:rsidR="004A1CFE" w:rsidRDefault="004A1CFE" w:rsidP="00110497">
            <w:pPr>
              <w:pStyle w:val="Tabelltextfet"/>
            </w:pPr>
            <w:r>
              <w:t>Klass 0-3 (konfidentialitet)</w:t>
            </w:r>
          </w:p>
        </w:tc>
        <w:tc>
          <w:tcPr>
            <w:tcW w:w="1106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14:paraId="6608CA97" w14:textId="05D73050" w:rsidR="004A1CFE" w:rsidRDefault="004A1CFE" w:rsidP="00110497">
            <w:pPr>
              <w:pStyle w:val="Tabelltextfet"/>
            </w:pPr>
            <w:r>
              <w:t>Lagring/teknik</w:t>
            </w:r>
          </w:p>
        </w:tc>
        <w:tc>
          <w:tcPr>
            <w:tcW w:w="680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</w:tcPr>
          <w:p w14:paraId="29F668FD" w14:textId="6E3C11BC" w:rsidR="004A1CFE" w:rsidRDefault="004A1CFE" w:rsidP="00110497">
            <w:pPr>
              <w:pStyle w:val="Tabelltextfet"/>
            </w:pPr>
            <w:r>
              <w:t>Datum för klassificering</w:t>
            </w:r>
          </w:p>
        </w:tc>
      </w:tr>
      <w:tr w:rsidR="004A1CFE" w14:paraId="3DAA880B" w14:textId="6D2679D7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677B514C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0EAAF2C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64EE74D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5C0C5747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14:paraId="781D1554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67FA7D92" w14:textId="0EC82AD5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231F5D9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61B1563A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6B45EB73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46688B2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301FF5D6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09326AD7" w14:textId="5526DF05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0FB032CB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759946AC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143925C7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6F6B0F58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14:paraId="4F469935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6231FFA0" w14:textId="627070A6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6E3977C5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2DB4AD37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0765D925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694822D3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0E9E8DD0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0EBBE780" w14:textId="73B3218D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18D0505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6A065573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009054E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451D43B9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3A1B18E2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03C78F60" w14:textId="3C9656EA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9ACE46D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8C41C03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67386F0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490C9BF3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6E912D6A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6599DE32" w14:textId="5288369D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19D3FE0A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4C586E4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8D4E10C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9CA6BE3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4EA40FA8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015AC8C2" w14:textId="06F98C15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5AEE1262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A441ADB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21C73AEC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  <w:vAlign w:val="center"/>
          </w:tcPr>
          <w:p w14:paraId="732C30D8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14:paraId="2E7FB242" w14:textId="77777777" w:rsidR="004A1CFE" w:rsidRDefault="004A1CFE" w:rsidP="00D962D7">
            <w:pPr>
              <w:pStyle w:val="Tabelltext"/>
              <w:jc w:val="right"/>
            </w:pPr>
          </w:p>
        </w:tc>
      </w:tr>
      <w:tr w:rsidR="004A1CFE" w14:paraId="471734FC" w14:textId="73E66364" w:rsidTr="004A1CFE">
        <w:trPr>
          <w:trHeight w:val="397"/>
        </w:trPr>
        <w:tc>
          <w:tcPr>
            <w:tcW w:w="90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33288F8B" w14:textId="77777777" w:rsidR="004A1CFE" w:rsidRDefault="004A1CFE" w:rsidP="00D962D7">
            <w:pPr>
              <w:pStyle w:val="Tabelltext"/>
            </w:pPr>
          </w:p>
        </w:tc>
        <w:tc>
          <w:tcPr>
            <w:tcW w:w="1679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361788FC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2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3FEEFBF2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1106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14:paraId="4E4448EE" w14:textId="77777777" w:rsidR="004A1CFE" w:rsidRDefault="004A1CFE" w:rsidP="00D962D7">
            <w:pPr>
              <w:pStyle w:val="Tabelltext"/>
              <w:jc w:val="right"/>
            </w:pPr>
          </w:p>
        </w:tc>
        <w:tc>
          <w:tcPr>
            <w:tcW w:w="6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14:paraId="687FF63A" w14:textId="77777777" w:rsidR="004A1CFE" w:rsidRDefault="004A1CFE" w:rsidP="00D962D7">
            <w:pPr>
              <w:pStyle w:val="Tabelltext"/>
              <w:jc w:val="right"/>
            </w:pPr>
          </w:p>
        </w:tc>
      </w:tr>
    </w:tbl>
    <w:p w14:paraId="2DB89945" w14:textId="77777777" w:rsidR="00110497" w:rsidRDefault="00110497" w:rsidP="00AC5EF1"/>
    <w:p w14:paraId="6BABA38E" w14:textId="2AB6A058" w:rsidR="00BF639E" w:rsidRDefault="004A1CFE" w:rsidP="00AC5EF1">
      <w:hyperlink r:id="rId8" w:history="1">
        <w:r w:rsidR="00110497" w:rsidRPr="0007598C">
          <w:rPr>
            <w:rStyle w:val="Hyperlnk"/>
          </w:rPr>
          <w:t>https://www.miun.se/medarbetare/universitetet/informationssakerhet/rutinbeskrivning-for-digitala-arbetsytor-for-mittuniversitetets-personal/</w:t>
        </w:r>
      </w:hyperlink>
    </w:p>
    <w:p w14:paraId="74CBF256" w14:textId="77777777" w:rsidR="00BF639E" w:rsidRPr="00AC5EF1" w:rsidRDefault="00BF639E" w:rsidP="00AC5EF1"/>
    <w:sectPr w:rsidR="00BF639E" w:rsidRPr="00AC5EF1" w:rsidSect="00BF639E">
      <w:headerReference w:type="default" r:id="rId9"/>
      <w:pgSz w:w="16838" w:h="11906" w:orient="landscape" w:code="9"/>
      <w:pgMar w:top="1985" w:right="1418" w:bottom="255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4683" w14:textId="77777777" w:rsidR="00BF639E" w:rsidRDefault="00BF639E" w:rsidP="00E25647">
      <w:pPr>
        <w:spacing w:line="240" w:lineRule="auto"/>
      </w:pPr>
      <w:r>
        <w:separator/>
      </w:r>
    </w:p>
  </w:endnote>
  <w:endnote w:type="continuationSeparator" w:id="0">
    <w:p w14:paraId="4D030015" w14:textId="77777777" w:rsidR="00BF639E" w:rsidRDefault="00BF639E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41D7" w14:textId="77777777" w:rsidR="00BF639E" w:rsidRPr="001565B5" w:rsidRDefault="00BF639E" w:rsidP="001565B5">
      <w:pPr>
        <w:pStyle w:val="Sidfot"/>
      </w:pPr>
    </w:p>
  </w:footnote>
  <w:footnote w:type="continuationSeparator" w:id="0">
    <w:p w14:paraId="42F615AC" w14:textId="77777777" w:rsidR="00BF639E" w:rsidRDefault="00BF639E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A9A6" w14:textId="652D445B" w:rsidR="00AC5EF1" w:rsidRDefault="00BF639E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A441D6" wp14:editId="4D98878B">
          <wp:simplePos x="0" y="0"/>
          <wp:positionH relativeFrom="column">
            <wp:posOffset>7010400</wp:posOffset>
          </wp:positionH>
          <wp:positionV relativeFrom="paragraph">
            <wp:posOffset>-123825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9E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10497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1CFE"/>
    <w:rsid w:val="004A50F6"/>
    <w:rsid w:val="00521985"/>
    <w:rsid w:val="00526960"/>
    <w:rsid w:val="00545972"/>
    <w:rsid w:val="005804DF"/>
    <w:rsid w:val="0058105A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5EF1"/>
    <w:rsid w:val="00AD4A6E"/>
    <w:rsid w:val="00B00D17"/>
    <w:rsid w:val="00B13B81"/>
    <w:rsid w:val="00B16A65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BF639E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CAEED"/>
  <w15:chartTrackingRefBased/>
  <w15:docId w15:val="{DE6E7C47-96E6-4838-BCF6-4E26DC5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qFormat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16A65"/>
    <w:rPr>
      <w:b/>
    </w:rPr>
  </w:style>
  <w:style w:type="paragraph" w:customStyle="1" w:styleId="Tabellrubrik">
    <w:name w:val="Tabellrubrik"/>
    <w:basedOn w:val="Infotext"/>
    <w:next w:val="Normal"/>
    <w:qFormat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medarbetare/universitetet/informationssakerhet/rutinbeskrivning-for-digitala-arbetsytor-for-mittuniversitetets-pers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 Svantesson, Eva</dc:creator>
  <cp:keywords/>
  <dc:description/>
  <cp:lastModifiedBy>Rodin Svantesson, Eva</cp:lastModifiedBy>
  <cp:revision>2</cp:revision>
  <cp:lastPrinted>2015-04-21T11:34:00Z</cp:lastPrinted>
  <dcterms:created xsi:type="dcterms:W3CDTF">2022-02-16T06:56:00Z</dcterms:created>
  <dcterms:modified xsi:type="dcterms:W3CDTF">2022-02-22T12:41:00Z</dcterms:modified>
</cp:coreProperties>
</file>